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4"/>
        <w:jc w:val="center"/>
      </w:pPr>
      <w:r>
        <w:rPr>
          <w:rFonts w:hint="eastAsia" w:ascii="宋体" w:hAnsi="宋体" w:eastAsia="宋体"/>
          <w:b/>
          <w:bCs/>
          <w:sz w:val="52"/>
          <w:szCs w:val="52"/>
        </w:rPr>
        <w:t>学生选课</w:t>
      </w:r>
      <w:bookmarkStart w:id="0" w:name="_Toc22078"/>
      <w:r>
        <w:rPr>
          <w:rFonts w:hint="eastAsia" w:ascii="宋体" w:hAnsi="宋体" w:eastAsia="宋体"/>
          <w:b/>
          <w:bCs/>
          <w:sz w:val="52"/>
          <w:szCs w:val="52"/>
          <w:lang w:val="en-US" w:eastAsia="zh-CN"/>
        </w:rPr>
        <w:t>操作手册</w:t>
      </w:r>
    </w:p>
    <w:p>
      <w:pPr>
        <w:pStyle w:val="3"/>
      </w:pPr>
      <w:r>
        <w:rPr>
          <w:rFonts w:hint="eastAsia"/>
        </w:rPr>
        <w:t>系统登录</w:t>
      </w:r>
      <w:bookmarkEnd w:id="0"/>
    </w:p>
    <w:p>
      <w:pPr>
        <w:ind w:firstLine="440"/>
        <w:rPr>
          <w:color w:val="FF0000"/>
        </w:rPr>
      </w:pPr>
      <w:r>
        <w:rPr>
          <w:rFonts w:hint="eastAsia"/>
          <w:color w:val="FF0000"/>
        </w:rPr>
        <w:t>建议使用谷歌C</w:t>
      </w:r>
      <w:r>
        <w:rPr>
          <w:color w:val="FF0000"/>
        </w:rPr>
        <w:t>hrome</w:t>
      </w:r>
      <w:r>
        <w:rPr>
          <w:rFonts w:hint="eastAsia"/>
          <w:color w:val="FF0000"/>
        </w:rPr>
        <w:t>浏览器登录系统</w:t>
      </w:r>
    </w:p>
    <w:p>
      <w:pPr>
        <w:ind w:firstLine="440"/>
        <w:rPr>
          <w:rFonts w:hint="eastAsia" w:eastAsia="等线"/>
          <w:lang w:eastAsia="zh-CN"/>
        </w:rPr>
      </w:pPr>
      <w:r>
        <w:t>在电脑端打开谷歌浏览器，访问</w:t>
      </w:r>
      <w:r>
        <w:fldChar w:fldCharType="begin"/>
      </w:r>
      <w:r>
        <w:instrText xml:space="preserve"> HYPERLINK "http://jwxt.aqnu.edu.cn/" </w:instrText>
      </w:r>
      <w:r>
        <w:fldChar w:fldCharType="separate"/>
      </w:r>
      <w:r>
        <w:rPr>
          <w:rStyle w:val="12"/>
          <w:rFonts w:hint="eastAsia"/>
        </w:rPr>
        <w:t>http://jwgl.njucm.edu.cn</w:t>
      </w:r>
      <w:r>
        <w:rPr>
          <w:rStyle w:val="12"/>
        </w:rPr>
        <w:t>/</w:t>
      </w:r>
      <w:r>
        <w:rPr>
          <w:rStyle w:val="12"/>
        </w:rPr>
        <w:fldChar w:fldCharType="end"/>
      </w:r>
      <w:r>
        <w:t>，</w:t>
      </w:r>
      <w:r>
        <w:rPr>
          <w:rFonts w:hint="eastAsia"/>
        </w:rPr>
        <w:t>点击【学生】入口切换登录角色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推荐使用</w:t>
      </w:r>
      <w:r>
        <w:rPr>
          <w:rFonts w:hint="eastAsia"/>
          <w:color w:val="FF0000"/>
          <w:lang w:val="en-US" w:eastAsia="zh-CN"/>
        </w:rPr>
        <w:t>统一身份认证登录</w:t>
      </w:r>
      <w:r>
        <w:rPr>
          <w:rFonts w:hint="eastAsia"/>
          <w:lang w:eastAsia="zh-CN"/>
        </w:rPr>
        <w:t>。</w:t>
      </w:r>
    </w:p>
    <w:p>
      <w:pPr>
        <w:numPr>
          <w:ilvl w:val="0"/>
          <w:numId w:val="2"/>
        </w:numPr>
        <w:ind w:left="420" w:leftChars="0" w:hanging="420" w:firstLineChars="0"/>
        <w:rPr>
          <w:rFonts w:hint="eastAsia"/>
        </w:rPr>
      </w:pPr>
      <w:r>
        <w:rPr>
          <w:rFonts w:hint="eastAsia"/>
          <w:lang w:val="en-US" w:eastAsia="zh-CN"/>
        </w:rPr>
        <w:t>教务账号密码登录：</w:t>
      </w:r>
      <w:r>
        <w:t>输入账号密码（账号为学号，密码</w:t>
      </w:r>
      <w:r>
        <w:rPr>
          <w:rFonts w:hint="eastAsia"/>
          <w:lang w:val="en-US" w:eastAsia="zh-CN"/>
        </w:rPr>
        <w:t>8位为Nzy+身份证后4位+*，如Nzy1234*</w:t>
      </w:r>
      <w:r>
        <w:t>）即可登录</w:t>
      </w:r>
      <w:r>
        <w:rPr>
          <w:rFonts w:hint="eastAsia"/>
        </w:rPr>
        <w:t>。</w:t>
      </w:r>
      <w:r>
        <w:rPr>
          <w:rFonts w:hint="eastAsia"/>
          <w:lang w:val="en-US" w:eastAsia="zh-CN"/>
        </w:rPr>
        <w:t>建议初次登陆后点击右上角头像到账号设置修改密码。选课结束后关闭此登录通道，后期统一使用统一身份认证登录。</w:t>
      </w:r>
    </w:p>
    <w:p>
      <w:pPr>
        <w:numPr>
          <w:ilvl w:val="0"/>
          <w:numId w:val="2"/>
        </w:numPr>
        <w:ind w:left="420" w:leftChars="0" w:hanging="420" w:firstLineChars="0"/>
        <w:rPr>
          <w:rFonts w:hint="default" w:eastAsia="微软雅黑"/>
          <w:lang w:val="en-US" w:eastAsia="zh-CN"/>
        </w:rPr>
      </w:pPr>
      <w:r>
        <w:rPr>
          <w:rFonts w:hint="eastAsia"/>
          <w:lang w:val="en-US" w:eastAsia="zh-CN"/>
        </w:rPr>
        <w:t>统一身份认证登录：点击“统一身份认证登录”，跳转到南京中医药大学统一身份认证页面，输入统一身份认证账号密码登陆后即可跳转登录至教务系统。</w:t>
      </w:r>
    </w:p>
    <w:p>
      <w:pPr>
        <w:numPr>
          <w:numId w:val="0"/>
        </w:numPr>
        <w:ind w:leftChars="0"/>
        <w:rPr>
          <w:rFonts w:hint="default" w:eastAsia="微软雅黑"/>
          <w:b/>
          <w:bCs/>
          <w:color w:val="FF0000"/>
          <w:lang w:val="en-US" w:eastAsia="zh-CN"/>
        </w:rPr>
      </w:pPr>
      <w:r>
        <w:rPr>
          <w:rFonts w:hint="eastAsia"/>
          <w:b/>
          <w:bCs/>
          <w:color w:val="FF0000"/>
          <w:lang w:val="en-US" w:eastAsia="zh-CN"/>
        </w:rPr>
        <w:t>注意：如在公共电脑选课，结束后务必退出教务系统，关闭浏览器。</w:t>
      </w:r>
    </w:p>
    <w:p>
      <w:pPr>
        <w:ind w:firstLine="0" w:firstLineChars="0"/>
      </w:pPr>
      <w:r>
        <w:drawing>
          <wp:inline distT="0" distB="0" distL="114300" distR="114300">
            <wp:extent cx="5725160" cy="2619375"/>
            <wp:effectExtent l="0" t="0" r="8890" b="9525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0" w:firstLineChars="0"/>
      </w:pPr>
      <w:r>
        <w:drawing>
          <wp:inline distT="0" distB="0" distL="114300" distR="114300">
            <wp:extent cx="5725160" cy="2619375"/>
            <wp:effectExtent l="0" t="0" r="8890" b="9525"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0" w:firstLineChars="0"/>
      </w:pPr>
      <w:r>
        <w:t xml:space="preserve"> </w:t>
      </w:r>
    </w:p>
    <w:p>
      <w:pPr>
        <w:ind w:firstLine="0" w:firstLineChars="0"/>
      </w:pPr>
    </w:p>
    <w:p>
      <w:pPr>
        <w:pStyle w:val="3"/>
      </w:pPr>
      <w:bookmarkStart w:id="1" w:name="_Toc130"/>
      <w:r>
        <w:rPr>
          <w:rFonts w:hint="eastAsia"/>
        </w:rPr>
        <w:t>选课</w:t>
      </w:r>
      <w:bookmarkEnd w:id="1"/>
    </w:p>
    <w:p>
      <w:pPr>
        <w:ind w:firstLineChars="0"/>
        <w:rPr>
          <w:lang w:val="en-US"/>
        </w:rPr>
      </w:pPr>
      <w:r>
        <w:rPr>
          <w:rFonts w:hint="eastAsia"/>
          <w:lang w:val="en-US"/>
        </w:rPr>
        <w:t>第一步：单击左上角</w:t>
      </w:r>
      <w:r>
        <w:drawing>
          <wp:inline distT="0" distB="0" distL="0" distR="0">
            <wp:extent cx="228600" cy="257175"/>
            <wp:effectExtent l="0" t="0" r="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/>
        </w:rPr>
        <w:t>图标，在弹出的菜单中找到选课菜单，或者通过菜单搜索【选课】。</w:t>
      </w:r>
    </w:p>
    <w:p>
      <w:pPr>
        <w:ind w:firstLine="0" w:firstLineChars="0"/>
        <w:rPr>
          <w:lang w:val="en-US"/>
        </w:rPr>
      </w:pPr>
      <w:r>
        <w:drawing>
          <wp:inline distT="0" distB="0" distL="114300" distR="114300">
            <wp:extent cx="5725160" cy="2619375"/>
            <wp:effectExtent l="0" t="0" r="8890" b="9525"/>
            <wp:docPr id="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0" w:firstLineChars="0"/>
        <w:rPr>
          <w:lang w:val="en-US"/>
        </w:rPr>
      </w:pPr>
    </w:p>
    <w:p>
      <w:pPr>
        <w:ind w:firstLine="0" w:firstLineChars="0"/>
        <w:rPr>
          <w:lang w:val="en-US"/>
        </w:rPr>
      </w:pPr>
      <w:r>
        <w:rPr>
          <w:lang w:val="en-US"/>
        </w:rPr>
        <w:t xml:space="preserve">  </w:t>
      </w:r>
      <w:r>
        <w:rPr>
          <w:rFonts w:hint="eastAsia"/>
          <w:lang w:val="en-US"/>
        </w:rPr>
        <w:t>第二步：打开【选课】菜单后，可以看到可选批次信息，从左到右，选课公告以及选课规则，中间为选课开放状态，右侧为具体开放的日期；</w:t>
      </w:r>
    </w:p>
    <w:p>
      <w:pPr>
        <w:pStyle w:val="13"/>
        <w:numPr>
          <w:ilvl w:val="0"/>
          <w:numId w:val="3"/>
        </w:numPr>
        <w:ind w:firstLineChars="0"/>
        <w:rPr>
          <w:lang w:val="en-US"/>
        </w:rPr>
      </w:pPr>
      <w:r>
        <w:rPr>
          <w:rFonts w:hint="eastAsia"/>
          <w:lang w:val="en-US"/>
        </w:rPr>
        <w:t>预览时间：选课批次开放的预览时间，在正式选课之前可查询有哪些参选的课程；</w:t>
      </w:r>
    </w:p>
    <w:p>
      <w:pPr>
        <w:pStyle w:val="13"/>
        <w:numPr>
          <w:ilvl w:val="0"/>
          <w:numId w:val="3"/>
        </w:numPr>
        <w:ind w:firstLineChars="0"/>
        <w:rPr>
          <w:lang w:val="en-US"/>
        </w:rPr>
      </w:pPr>
      <w:r>
        <w:rPr>
          <w:rFonts w:hint="eastAsia"/>
          <w:lang w:val="en-US"/>
        </w:rPr>
        <w:t>选课时间：选课开放时间，只有在此时间内才能开始选课。</w:t>
      </w:r>
    </w:p>
    <w:p>
      <w:pPr>
        <w:pStyle w:val="13"/>
        <w:numPr>
          <w:ilvl w:val="0"/>
          <w:numId w:val="0"/>
        </w:numPr>
        <w:rPr>
          <w:rFonts w:hint="default" w:eastAsia="等线"/>
          <w:b/>
          <w:bCs/>
          <w:color w:val="FF0000"/>
          <w:lang w:val="en-US" w:eastAsia="zh-CN"/>
        </w:rPr>
      </w:pPr>
      <w:r>
        <w:rPr>
          <w:rFonts w:hint="eastAsia"/>
          <w:b/>
          <w:bCs/>
          <w:color w:val="FF0000"/>
          <w:lang w:val="en-US" w:eastAsia="zh-CN"/>
        </w:rPr>
        <w:t>注意：本次选课仙林校区分公选课程、培养方案内课程、体育英语共三个批次；泰州校区分公选课程、培养方案内课程两个批次，请不要漏选。</w:t>
      </w:r>
    </w:p>
    <w:p>
      <w:pPr>
        <w:ind w:firstLine="0" w:firstLineChars="0"/>
        <w:rPr>
          <w:lang w:val="en-US"/>
        </w:rPr>
      </w:pPr>
      <w:r>
        <w:drawing>
          <wp:inline distT="0" distB="0" distL="114300" distR="114300">
            <wp:extent cx="5725160" cy="2619375"/>
            <wp:effectExtent l="0" t="0" r="8890" b="952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ind w:firstLine="0" w:firstLineChars="0"/>
        <w:rPr>
          <w:lang w:val="en-US"/>
        </w:rPr>
      </w:pPr>
      <w:r>
        <w:rPr>
          <w:lang w:val="en-US"/>
        </w:rPr>
        <w:br w:type="page"/>
      </w:r>
    </w:p>
    <w:p>
      <w:pPr>
        <w:pStyle w:val="4"/>
      </w:pPr>
      <w:bookmarkStart w:id="2" w:name="_Toc31632"/>
      <w:r>
        <w:rPr>
          <w:rFonts w:hint="eastAsia"/>
        </w:rPr>
        <w:t>选课方式一：列表选课</w:t>
      </w:r>
      <w:bookmarkEnd w:id="2"/>
    </w:p>
    <w:p>
      <w:pPr>
        <w:ind w:firstLine="240" w:firstLineChars="100"/>
        <w:rPr>
          <w:lang w:val="en-US"/>
        </w:rPr>
      </w:pPr>
      <w:r>
        <w:rPr>
          <w:rFonts w:hint="eastAsia"/>
          <w:lang w:val="en-US"/>
        </w:rPr>
        <w:t>列表选课即显示</w:t>
      </w:r>
      <w:r>
        <w:rPr>
          <w:rFonts w:hint="eastAsia"/>
          <w:lang w:val="en-US" w:eastAsia="zh-CN"/>
        </w:rPr>
        <w:t>当前批次</w:t>
      </w:r>
      <w:r>
        <w:rPr>
          <w:rFonts w:hint="eastAsia"/>
          <w:lang w:val="en-US"/>
        </w:rPr>
        <w:t>所有参选任务，学生可自由选课，默认选课方式为【列表选课】；</w:t>
      </w:r>
    </w:p>
    <w:p>
      <w:pPr>
        <w:ind w:firstLine="240" w:firstLineChars="100"/>
        <w:rPr>
          <w:rFonts w:hint="eastAsia"/>
          <w:lang w:val="en-US"/>
        </w:rPr>
      </w:pPr>
      <w:r>
        <w:rPr>
          <w:rFonts w:hint="eastAsia"/>
          <w:lang w:val="en-US"/>
        </w:rPr>
        <w:t>选课页面上方面查询区域，学生可根据自己情况输入查询条件，搜索感兴趣的课程，或通过右下角的翻页按钮进行切换，点击右侧的【选课】按钮即完成该课程的选课。</w:t>
      </w:r>
    </w:p>
    <w:p>
      <w:pPr>
        <w:pStyle w:val="13"/>
        <w:numPr>
          <w:ilvl w:val="0"/>
          <w:numId w:val="4"/>
        </w:numPr>
        <w:ind w:firstLineChars="0"/>
        <w:rPr>
          <w:rFonts w:hint="eastAsia"/>
          <w:lang w:val="en-US"/>
        </w:rPr>
      </w:pPr>
      <w:r>
        <w:rPr>
          <w:rFonts w:hint="eastAsia"/>
          <w:lang w:val="en-US"/>
        </w:rPr>
        <w:t>在点击【选课】时，系统会自动检测与当前已选课程是否冲突，若存在冲突，则进行提示，不允许选课。</w:t>
      </w:r>
    </w:p>
    <w:p>
      <w:pPr>
        <w:ind w:firstLine="0" w:firstLineChars="0"/>
      </w:pPr>
      <w:r>
        <w:drawing>
          <wp:inline distT="0" distB="0" distL="114300" distR="114300">
            <wp:extent cx="5725160" cy="2619375"/>
            <wp:effectExtent l="0" t="0" r="8890" b="9525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0" w:firstLineChars="0"/>
      </w:pPr>
      <w:r>
        <w:drawing>
          <wp:inline distT="0" distB="0" distL="114300" distR="114300">
            <wp:extent cx="5725160" cy="2619375"/>
            <wp:effectExtent l="0" t="0" r="8890" b="9525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0" w:firstLineChars="0"/>
        <w:rPr>
          <w:rFonts w:hint="default"/>
          <w:b/>
          <w:bCs/>
          <w:color w:val="FF0000"/>
          <w:lang w:val="en-US" w:eastAsia="zh-CN"/>
        </w:rPr>
      </w:pPr>
      <w:r>
        <w:rPr>
          <w:rFonts w:hint="eastAsia"/>
          <w:b/>
          <w:bCs/>
          <w:color w:val="FF0000"/>
          <w:lang w:val="en-US" w:eastAsia="zh-CN"/>
        </w:rPr>
        <w:t>注意：体育和英语选课需选择符合对应教学班的课程，如选择到其他班级，将无法成功选课。</w:t>
      </w:r>
    </w:p>
    <w:p>
      <w:pPr>
        <w:ind w:firstLine="0" w:firstLineChars="0"/>
      </w:pPr>
      <w:r>
        <w:drawing>
          <wp:inline distT="0" distB="0" distL="114300" distR="114300">
            <wp:extent cx="5725160" cy="2619375"/>
            <wp:effectExtent l="0" t="0" r="8890" b="9525"/>
            <wp:docPr id="14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9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0" w:firstLineChars="0"/>
        <w:rPr>
          <w:rFonts w:hint="default"/>
          <w:lang w:val="en-US" w:eastAsia="zh-CN"/>
        </w:rPr>
      </w:pPr>
      <w:r>
        <w:drawing>
          <wp:inline distT="0" distB="0" distL="114300" distR="114300">
            <wp:extent cx="5725160" cy="2619375"/>
            <wp:effectExtent l="0" t="0" r="8890" b="9525"/>
            <wp:docPr id="17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0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</w:pPr>
      <w:bookmarkStart w:id="3" w:name="_Toc26634"/>
      <w:r>
        <w:rPr>
          <w:rFonts w:hint="eastAsia"/>
        </w:rPr>
        <w:t>选课方式二：课表选课</w:t>
      </w:r>
      <w:bookmarkEnd w:id="3"/>
    </w:p>
    <w:p>
      <w:pPr>
        <w:ind w:firstLine="440"/>
        <w:rPr>
          <w:lang w:val="en-US"/>
        </w:rPr>
      </w:pPr>
      <w:r>
        <w:rPr>
          <w:rFonts w:hint="eastAsia"/>
          <w:lang w:val="en-US"/>
        </w:rPr>
        <w:t>课表选课即根据学生当前课表空闲时段来选课，如下图，先切换至课表选课页面。</w:t>
      </w:r>
    </w:p>
    <w:p>
      <w:pPr>
        <w:ind w:firstLine="440"/>
        <w:rPr>
          <w:lang w:val="en-US"/>
        </w:rPr>
      </w:pPr>
      <w:r>
        <w:rPr>
          <w:rFonts w:hint="eastAsia"/>
          <w:lang w:val="en-US"/>
        </w:rPr>
        <w:t>第一步：点击周</w:t>
      </w:r>
      <w:r>
        <w:rPr>
          <w:rFonts w:hint="eastAsia"/>
          <w:lang w:val="en-US" w:eastAsia="zh-CN"/>
        </w:rPr>
        <w:t>六</w:t>
      </w:r>
      <w:r>
        <w:rPr>
          <w:rFonts w:hint="eastAsia"/>
          <w:lang w:val="en-US"/>
        </w:rPr>
        <w:t>第</w:t>
      </w:r>
      <w:r>
        <w:rPr>
          <w:rFonts w:hint="eastAsia"/>
          <w:lang w:val="en-US" w:eastAsia="zh-CN"/>
        </w:rPr>
        <w:t>6</w:t>
      </w:r>
      <w:r>
        <w:rPr>
          <w:rFonts w:hint="eastAsia"/>
          <w:lang w:val="en-US"/>
        </w:rPr>
        <w:t>节选课；</w:t>
      </w:r>
    </w:p>
    <w:p>
      <w:pPr>
        <w:ind w:firstLine="0" w:firstLineChars="0"/>
        <w:rPr>
          <w:lang w:val="en-US"/>
        </w:rPr>
      </w:pPr>
      <w:r>
        <w:drawing>
          <wp:inline distT="0" distB="0" distL="114300" distR="114300">
            <wp:extent cx="5725160" cy="2619375"/>
            <wp:effectExtent l="0" t="0" r="8890" b="9525"/>
            <wp:docPr id="1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7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0" w:firstLineChars="0"/>
        <w:rPr>
          <w:lang w:val="en-US"/>
        </w:rPr>
      </w:pPr>
      <w:r>
        <w:rPr>
          <w:rFonts w:hint="eastAsia"/>
          <w:lang w:val="en-US"/>
        </w:rPr>
        <w:t xml:space="preserve"> </w:t>
      </w:r>
      <w:r>
        <w:rPr>
          <w:lang w:val="en-US"/>
        </w:rPr>
        <w:tab/>
      </w:r>
      <w:r>
        <w:rPr>
          <w:rFonts w:hint="eastAsia"/>
          <w:lang w:val="en-US"/>
        </w:rPr>
        <w:t>第二步：弹出所有周</w:t>
      </w:r>
      <w:r>
        <w:rPr>
          <w:rFonts w:hint="eastAsia"/>
          <w:lang w:val="en-US" w:eastAsia="zh-CN"/>
        </w:rPr>
        <w:t>六</w:t>
      </w:r>
      <w:r>
        <w:rPr>
          <w:rFonts w:hint="eastAsia"/>
          <w:lang w:val="en-US"/>
        </w:rPr>
        <w:t>第</w:t>
      </w:r>
      <w:r>
        <w:rPr>
          <w:rFonts w:hint="eastAsia"/>
          <w:lang w:val="en-US" w:eastAsia="zh-CN"/>
        </w:rPr>
        <w:t>6</w:t>
      </w:r>
      <w:r>
        <w:rPr>
          <w:rFonts w:hint="eastAsia"/>
          <w:lang w:val="en-US"/>
        </w:rPr>
        <w:t>节开始的可选课程；</w:t>
      </w:r>
    </w:p>
    <w:p>
      <w:pPr>
        <w:ind w:firstLine="0" w:firstLineChars="0"/>
        <w:rPr>
          <w:lang w:val="en-US"/>
        </w:rPr>
      </w:pPr>
      <w:r>
        <w:drawing>
          <wp:inline distT="0" distB="0" distL="114300" distR="114300">
            <wp:extent cx="5725160" cy="2619375"/>
            <wp:effectExtent l="0" t="0" r="8890" b="9525"/>
            <wp:docPr id="1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8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0" w:firstLineChars="0"/>
        <w:rPr>
          <w:lang w:val="en-US"/>
        </w:rPr>
      </w:pPr>
      <w:r>
        <w:rPr>
          <w:lang w:val="en-US"/>
        </w:rPr>
        <w:tab/>
      </w:r>
      <w:r>
        <w:rPr>
          <w:rFonts w:hint="eastAsia"/>
          <w:lang w:val="en-US"/>
        </w:rPr>
        <w:t>第三步：点击选课，选课完成。</w:t>
      </w:r>
    </w:p>
    <w:p>
      <w:pPr>
        <w:ind w:firstLine="0" w:firstLineChars="0"/>
      </w:pPr>
      <w:r>
        <w:drawing>
          <wp:inline distT="0" distB="0" distL="114300" distR="114300">
            <wp:extent cx="5725160" cy="2619375"/>
            <wp:effectExtent l="0" t="0" r="8890" b="9525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退课</w:t>
      </w:r>
    </w:p>
    <w:p>
      <w:pPr>
        <w:numPr>
          <w:ilvl w:val="0"/>
          <w:numId w:val="5"/>
        </w:numPr>
        <w:ind w:left="42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列表选课退课：选课成功后对应的“选课”按钮变成“退课”按钮，点击“退课”确认后即可退课；部分课程如已置课的必修课不可退课。</w:t>
      </w:r>
    </w:p>
    <w:p>
      <w:r>
        <w:drawing>
          <wp:inline distT="0" distB="0" distL="114300" distR="114300">
            <wp:extent cx="5725160" cy="2619375"/>
            <wp:effectExtent l="0" t="0" r="8890" b="9525"/>
            <wp:docPr id="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725160" cy="2619375"/>
            <wp:effectExtent l="0" t="0" r="8890" b="9525"/>
            <wp:docPr id="1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6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lang w:val="en-US"/>
        </w:rPr>
      </w:pPr>
    </w:p>
    <w:p>
      <w:pPr>
        <w:numPr>
          <w:ilvl w:val="0"/>
          <w:numId w:val="5"/>
        </w:numPr>
        <w:ind w:left="42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课表选课退课：鼠标右击课表中的课程，点击“退课”确认后即可退课；部分课程如已置课的必修课不可退课。</w:t>
      </w:r>
    </w:p>
    <w:p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725160" cy="2619375"/>
            <wp:effectExtent l="0" t="0" r="8890" b="9525"/>
            <wp:docPr id="1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7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725160" cy="2619375"/>
            <wp:effectExtent l="0" t="0" r="8890" b="9525"/>
            <wp:docPr id="1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8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选课筛选结果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预选结束后，选课人数大于上限，系统将自动进行抽签。正选期间可在菜单中找到“选课筛选结果”菜单，查看预选是否中签。</w:t>
      </w:r>
      <w:bookmarkStart w:id="4" w:name="_GoBack"/>
      <w:bookmarkEnd w:id="4"/>
    </w:p>
    <w:p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726430" cy="2447925"/>
            <wp:effectExtent l="0" t="0" r="7620" b="9525"/>
            <wp:docPr id="1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2643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0" w:h="16840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99C6B59"/>
    <w:multiLevelType w:val="multilevel"/>
    <w:tmpl w:val="899C6B59"/>
    <w:lvl w:ilvl="0" w:tentative="0">
      <w:start w:val="1"/>
      <w:numFmt w:val="chineseCounting"/>
      <w:suff w:val="nothing"/>
      <w:lvlText w:val="第%1章 "/>
      <w:lvlJc w:val="left"/>
      <w:pPr>
        <w:ind w:left="432" w:hanging="432"/>
      </w:pPr>
      <w:rPr>
        <w:rFonts w:hint="eastAsia"/>
      </w:rPr>
    </w:lvl>
    <w:lvl w:ilvl="1" w:tentative="0">
      <w:start w:val="1"/>
      <w:numFmt w:val="decimal"/>
      <w:pStyle w:val="3"/>
      <w:isLgl/>
      <w:lvlText w:val="%1.%2."/>
      <w:lvlJc w:val="left"/>
      <w:pPr>
        <w:ind w:left="575" w:hanging="575"/>
      </w:pPr>
      <w:rPr>
        <w:rFonts w:hint="eastAsia"/>
      </w:rPr>
    </w:lvl>
    <w:lvl w:ilvl="2" w:tentative="0">
      <w:start w:val="1"/>
      <w:numFmt w:val="decimal"/>
      <w:isLgl/>
      <w:lvlText w:val="%1.%2.%3."/>
      <w:lvlJc w:val="left"/>
      <w:pPr>
        <w:ind w:left="720" w:hanging="720"/>
      </w:pPr>
      <w:rPr>
        <w:rFonts w:hint="eastAsia"/>
      </w:rPr>
    </w:lvl>
    <w:lvl w:ilvl="3" w:tentative="0">
      <w:start w:val="1"/>
      <w:numFmt w:val="decimal"/>
      <w:isLgl/>
      <w:lvlText w:val="%1.%2.%3.%4.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isLgl/>
      <w:lvlText w:val="%1.%2.%3.%4.%5.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isLgl/>
      <w:lvlText w:val="%1.%2.%3.%4.%5.%6."/>
      <w:lvlJc w:val="left"/>
      <w:pPr>
        <w:ind w:left="1151" w:hanging="1151"/>
      </w:pPr>
      <w:rPr>
        <w:rFonts w:hint="eastAsia"/>
      </w:rPr>
    </w:lvl>
    <w:lvl w:ilvl="6" w:tentative="0">
      <w:start w:val="1"/>
      <w:numFmt w:val="decimal"/>
      <w:isLgl/>
      <w:lvlText w:val="%1.%2.%3.%4.%5.%6.%7.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isLgl/>
      <w:lvlText w:val="%1.%2.%3.%4.%5.%6.%7.%8.%9."/>
      <w:lvlJc w:val="left"/>
      <w:pPr>
        <w:ind w:left="1583" w:hanging="1583"/>
      </w:pPr>
      <w:rPr>
        <w:rFonts w:hint="eastAsia"/>
      </w:rPr>
    </w:lvl>
  </w:abstractNum>
  <w:abstractNum w:abstractNumId="1">
    <w:nsid w:val="EAD8B539"/>
    <w:multiLevelType w:val="singleLevel"/>
    <w:tmpl w:val="EAD8B539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2">
    <w:nsid w:val="FE249398"/>
    <w:multiLevelType w:val="singleLevel"/>
    <w:tmpl w:val="FE249398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3">
    <w:nsid w:val="5B2A2806"/>
    <w:multiLevelType w:val="multilevel"/>
    <w:tmpl w:val="5B2A2806"/>
    <w:lvl w:ilvl="0" w:tentative="0">
      <w:start w:val="1"/>
      <w:numFmt w:val="bullet"/>
      <w:lvlText w:val=""/>
      <w:lvlJc w:val="left"/>
      <w:pPr>
        <w:ind w:left="84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26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68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10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52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94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36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78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200" w:hanging="420"/>
      </w:pPr>
      <w:rPr>
        <w:rFonts w:hint="default" w:ascii="Wingdings" w:hAnsi="Wingdings"/>
      </w:rPr>
    </w:lvl>
  </w:abstractNum>
  <w:abstractNum w:abstractNumId="4">
    <w:nsid w:val="7E8869A6"/>
    <w:multiLevelType w:val="multilevel"/>
    <w:tmpl w:val="7E8869A6"/>
    <w:lvl w:ilvl="0" w:tentative="0">
      <w:start w:val="1"/>
      <w:numFmt w:val="bullet"/>
      <w:lvlText w:val=""/>
      <w:lvlJc w:val="left"/>
      <w:pPr>
        <w:ind w:left="114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56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98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40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82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24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66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408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50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58699D"/>
    <w:rsid w:val="03962305"/>
    <w:rsid w:val="03AD5EDF"/>
    <w:rsid w:val="06162243"/>
    <w:rsid w:val="0A02119E"/>
    <w:rsid w:val="10A53C29"/>
    <w:rsid w:val="13CC58CF"/>
    <w:rsid w:val="1404336A"/>
    <w:rsid w:val="142739AB"/>
    <w:rsid w:val="184C2D33"/>
    <w:rsid w:val="1F996FAD"/>
    <w:rsid w:val="28813076"/>
    <w:rsid w:val="324A4E9A"/>
    <w:rsid w:val="37F86F59"/>
    <w:rsid w:val="382424EF"/>
    <w:rsid w:val="3952035E"/>
    <w:rsid w:val="3A2E4E87"/>
    <w:rsid w:val="3EDC144D"/>
    <w:rsid w:val="3F58699D"/>
    <w:rsid w:val="42EE564F"/>
    <w:rsid w:val="4AD97768"/>
    <w:rsid w:val="4C1E4D39"/>
    <w:rsid w:val="56B85264"/>
    <w:rsid w:val="598D29D8"/>
    <w:rsid w:val="5E6310D4"/>
    <w:rsid w:val="5F583811"/>
    <w:rsid w:val="5F5C2D34"/>
    <w:rsid w:val="60314FBA"/>
    <w:rsid w:val="648E1347"/>
    <w:rsid w:val="65B03853"/>
    <w:rsid w:val="69103A17"/>
    <w:rsid w:val="6D8054EB"/>
    <w:rsid w:val="6ED924EF"/>
    <w:rsid w:val="71564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iPriority="39" w:semiHidden="0" w:name="toc 2"/>
    <w:lsdException w:qFormat="1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等线" w:cs="Times New Roman"/>
      <w:color w:val="595959"/>
      <w:kern w:val="2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numPr>
        <w:ilvl w:val="1"/>
        <w:numId w:val="1"/>
      </w:numPr>
      <w:pBdr>
        <w:top w:val="none" w:color="auto" w:sz="0" w:space="1"/>
        <w:left w:val="none" w:color="auto" w:sz="0" w:space="4"/>
        <w:bottom w:val="single" w:color="auto" w:sz="4" w:space="1"/>
        <w:right w:val="none" w:color="auto" w:sz="0" w:space="4"/>
      </w:pBdr>
      <w:shd w:val="clear" w:color="auto" w:fill="F1F1F1"/>
      <w:spacing w:before="260" w:after="160" w:line="240" w:lineRule="auto"/>
      <w:ind w:left="575" w:hanging="575" w:firstLineChars="0"/>
      <w:outlineLvl w:val="1"/>
    </w:pPr>
    <w:rPr>
      <w:rFonts w:ascii="Calibri Light" w:hAnsi="Calibri Light" w:eastAsia="宋体" w:cs="Times New Roman"/>
      <w:b/>
      <w:bCs/>
      <w:color w:val="2E75B5"/>
      <w:sz w:val="32"/>
      <w:szCs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toc 3"/>
    <w:basedOn w:val="1"/>
    <w:next w:val="1"/>
    <w:unhideWhenUsed/>
    <w:qFormat/>
    <w:uiPriority w:val="39"/>
    <w:pPr>
      <w:tabs>
        <w:tab w:val="left" w:pos="1760"/>
        <w:tab w:val="right" w:leader="dot" w:pos="9010"/>
      </w:tabs>
      <w:spacing w:before="0" w:after="0"/>
      <w:ind w:left="440" w:firstLine="440"/>
    </w:pPr>
    <w:rPr>
      <w:rFonts w:asciiTheme="minorHAnsi" w:hAnsiTheme="minorHAnsi"/>
      <w:i/>
    </w:rPr>
  </w:style>
  <w:style w:type="paragraph" w:styleId="7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8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toc 2"/>
    <w:basedOn w:val="1"/>
    <w:next w:val="1"/>
    <w:unhideWhenUsed/>
    <w:qFormat/>
    <w:uiPriority w:val="39"/>
    <w:pPr>
      <w:spacing w:before="0" w:after="0"/>
      <w:ind w:left="220"/>
    </w:pPr>
    <w:rPr>
      <w:rFonts w:asciiTheme="minorHAnsi" w:hAnsiTheme="minorHAnsi"/>
      <w:smallCaps/>
    </w:rPr>
  </w:style>
  <w:style w:type="character" w:styleId="12">
    <w:name w:val="Hyperlink"/>
    <w:unhideWhenUsed/>
    <w:qFormat/>
    <w:uiPriority w:val="99"/>
    <w:rPr>
      <w:color w:val="0563C1"/>
      <w:u w:val="single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paragraph" w:customStyle="1" w:styleId="14">
    <w:name w:val="TOC 标题2"/>
    <w:basedOn w:val="2"/>
    <w:next w:val="1"/>
    <w:unhideWhenUsed/>
    <w:qFormat/>
    <w:uiPriority w:val="39"/>
    <w:pPr>
      <w:keepNext/>
      <w:keepLines/>
      <w:numPr>
        <w:ilvl w:val="0"/>
        <w:numId w:val="0"/>
      </w:numPr>
      <w:spacing w:before="240" w:line="259" w:lineRule="auto"/>
      <w:outlineLvl w:val="9"/>
    </w:pPr>
    <w:rPr>
      <w:rFonts w:asciiTheme="majorHAnsi" w:hAnsiTheme="majorHAnsi" w:eastAsiaTheme="majorEastAsia" w:cstheme="majorBidi"/>
      <w:b w:val="0"/>
      <w:color w:val="2E75B6" w:themeColor="accent1" w:themeShade="BF"/>
      <w:sz w:val="32"/>
      <w:szCs w:val="32"/>
      <w:lang w:val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9" Type="http://schemas.openxmlformats.org/officeDocument/2006/relationships/fontTable" Target="fontTable.xml"/><Relationship Id="rId28" Type="http://schemas.openxmlformats.org/officeDocument/2006/relationships/numbering" Target="numbering.xml"/><Relationship Id="rId27" Type="http://schemas.openxmlformats.org/officeDocument/2006/relationships/customXml" Target="../customXml/item1.xml"/><Relationship Id="rId26" Type="http://schemas.openxmlformats.org/officeDocument/2006/relationships/image" Target="media/image17.png"/><Relationship Id="rId25" Type="http://schemas.openxmlformats.org/officeDocument/2006/relationships/image" Target="media/image16.png"/><Relationship Id="rId24" Type="http://schemas.openxmlformats.org/officeDocument/2006/relationships/image" Target="media/image15.png"/><Relationship Id="rId23" Type="http://schemas.openxmlformats.org/officeDocument/2006/relationships/image" Target="media/image14.png"/><Relationship Id="rId22" Type="http://schemas.openxmlformats.org/officeDocument/2006/relationships/image" Target="media/image13.png"/><Relationship Id="rId21" Type="http://schemas.openxmlformats.org/officeDocument/2006/relationships/image" Target="media/image12.png"/><Relationship Id="rId20" Type="http://schemas.openxmlformats.org/officeDocument/2006/relationships/image" Target="media/image11.png"/><Relationship Id="rId2" Type="http://schemas.openxmlformats.org/officeDocument/2006/relationships/settings" Target="settings.xml"/><Relationship Id="rId19" Type="http://schemas.openxmlformats.org/officeDocument/2006/relationships/image" Target="media/image10.png"/><Relationship Id="rId18" Type="http://schemas.openxmlformats.org/officeDocument/2006/relationships/image" Target="media/image9.png"/><Relationship Id="rId17" Type="http://schemas.openxmlformats.org/officeDocument/2006/relationships/image" Target="media/image8.png"/><Relationship Id="rId16" Type="http://schemas.openxmlformats.org/officeDocument/2006/relationships/image" Target="media/image7.png"/><Relationship Id="rId15" Type="http://schemas.openxmlformats.org/officeDocument/2006/relationships/image" Target="media/image6.png"/><Relationship Id="rId14" Type="http://schemas.openxmlformats.org/officeDocument/2006/relationships/image" Target="media/image5.png"/><Relationship Id="rId13" Type="http://schemas.openxmlformats.org/officeDocument/2006/relationships/image" Target="media/image4.png"/><Relationship Id="rId12" Type="http://schemas.openxmlformats.org/officeDocument/2006/relationships/image" Target="media/image3.png"/><Relationship Id="rId11" Type="http://schemas.openxmlformats.org/officeDocument/2006/relationships/image" Target="media/image2.png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20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2021-12-29T01:52:00Z</dcterms:created>
  <dc:creator>曹张振</dc:creator>
  <cp:lastModifiedBy>Leo</cp:lastModifiedBy>
  <dcterms:modified xsi:type="dcterms:W3CDTF">2022-01-04T01:39:52Z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190E9FCAB0AE4B249E9262C08A4F37E4</vt:lpwstr>
  </property>
</Properties>
</file>