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776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附件</w:t>
      </w:r>
    </w:p>
    <w:p w14:paraId="7BC02A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  <w:t>第一批立项微专业名单</w:t>
      </w:r>
    </w:p>
    <w:tbl>
      <w:tblPr>
        <w:tblStyle w:val="2"/>
        <w:tblW w:w="77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115"/>
        <w:gridCol w:w="2075"/>
        <w:gridCol w:w="1269"/>
        <w:gridCol w:w="1499"/>
      </w:tblGrid>
      <w:tr w14:paraId="552F0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97D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183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微专业名称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403A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责任学院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683D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所属学科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C45F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专业负责人</w:t>
            </w:r>
          </w:p>
        </w:tc>
      </w:tr>
      <w:tr w14:paraId="5E3B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创新创业教育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宋宝香</w:t>
            </w:r>
          </w:p>
        </w:tc>
      </w:tr>
      <w:tr w14:paraId="203F0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经方应用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国际经方学院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黄煌</w:t>
            </w:r>
          </w:p>
        </w:tc>
      </w:tr>
      <w:tr w14:paraId="3BC55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中医经典临床应用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郑晓红</w:t>
            </w:r>
          </w:p>
        </w:tc>
      </w:tr>
      <w:tr w14:paraId="5283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8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中医药妆食学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于瑞莲</w:t>
            </w:r>
          </w:p>
        </w:tc>
      </w:tr>
      <w:tr w14:paraId="61EE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中医药人工智能应用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周作建</w:t>
            </w:r>
          </w:p>
        </w:tc>
      </w:tr>
      <w:tr w14:paraId="2E25A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中医非药物疗法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王欣君</w:t>
            </w:r>
          </w:p>
        </w:tc>
      </w:tr>
    </w:tbl>
    <w:p w14:paraId="64484B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C75CE"/>
    <w:rsid w:val="7F5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2025-03-11T03:29:00Z</dcterms:created>
  <dc:creator>ZhouXY</dc:creator>
  <cp:lastModifiedBy>ZhouXY</cp:lastModifiedBy>
  <dcterms:modified xsi:type="dcterms:W3CDTF">2025-03-11T03:29:21Z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3943D82DFB9D4350B8DF25E334EB3F86_11</vt:lpwstr>
  </property>
  <property fmtid="{D5CDD505-2E9C-101B-9397-08002B2CF9AE}" pid="4" name="KSOTemplateDocerSaveRecord">
    <vt:lpwstr>eyJoZGlkIjoiYjhiNGUwZjM4MTY4MDI0OTE1OWMzY2I2MmQxZGI5NjMiLCJ1c2VySWQiOiIyNDQzNjA4MzcifQ==</vt:lpwstr>
  </property>
</Properties>
</file>