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2</w:t>
      </w:r>
      <w:r>
        <w:rPr>
          <w:rFonts w:hint="eastAsia"/>
          <w:b/>
          <w:bCs/>
          <w:sz w:val="32"/>
          <w:szCs w:val="32"/>
        </w:rPr>
        <w:t>年校级优秀本科毕业设计团队名单</w:t>
      </w:r>
    </w:p>
    <w:tbl>
      <w:tblPr>
        <w:tblStyle w:val="2"/>
        <w:tblpPr w:leftFromText="180" w:rightFromText="180" w:vertAnchor="text" w:horzAnchor="page" w:tblpX="984" w:tblpY="343"/>
        <w:tblOverlap w:val="never"/>
        <w:tblW w:w="1552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2438"/>
        <w:gridCol w:w="2987"/>
        <w:gridCol w:w="3263"/>
        <w:gridCol w:w="393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王子傲、徐钰恒、冯暑阳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数字人文下基于引文分析的中医温病典籍知识挖掘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谢靖、钱爱兵、刘艳华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孟玮昱、杨孝权、刘子轶、周婕、黄恺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2016-2020年国内外慢性病研究热点的对比分析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刘艳华、钱爱兵、谢靖、宋慧勇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计算机科学与技术、软件工程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王璐、郭雨、范子辰、方树成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名老中医治疗儿童哮喘用药规律及作用机制研究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丁有伟、戴彩艳、胡孔法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计算机科学与技术、医学信息工程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曾敏杰、严婧琰、李欣语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院前急救服务管理系统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周作建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王秋涵、刘文睿、蒋淑梅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蛹虫草改善慢性肺阻塞性疾病的功效研究</w:t>
            </w:r>
          </w:p>
        </w:tc>
        <w:tc>
          <w:tcPr>
            <w:tcW w:w="3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张雯、狄留庆、王若宁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0YjMzMmJmNDE1YWZjYWMwOTEyNzBiYmRkMTQwNmIifQ=="/>
  </w:docVars>
  <w:rsids>
    <w:rsidRoot w:val="7CD75F40"/>
    <w:rsid w:val="26235BC3"/>
    <w:rsid w:val="7CD7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338</Characters>
  <Lines>0</Lines>
  <Paragraphs>0</Paragraphs>
  <TotalTime>1</TotalTime>
  <ScaleCrop>false</ScaleCrop>
  <LinksUpToDate>false</LinksUpToDate>
  <CharactersWithSpaces>338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2021-08-04T08:56:00Z</dcterms:created>
  <dc:creator>gndd</dc:creator>
  <cp:lastModifiedBy>ddhh</cp:lastModifiedBy>
  <dcterms:modified xsi:type="dcterms:W3CDTF">2022-08-02T04:01:36Z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4E65233C18DE44B18D54D105B9DA9669</vt:lpwstr>
  </property>
</Properties>
</file>