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both"/>
        <w:rPr>
          <w:rFonts w:hint="eastAsia"/>
          <w:b/>
          <w:bCs/>
          <w:sz w:val="28"/>
          <w:szCs w:val="28"/>
        </w:rPr>
      </w:pPr>
      <w:r>
        <w:rPr>
          <w:rFonts w:hint="eastAsia"/>
          <w:b/>
          <w:bCs/>
          <w:sz w:val="28"/>
          <w:szCs w:val="28"/>
        </w:rPr>
        <w:t>附件：</w:t>
      </w:r>
    </w:p>
    <w:p>
      <w:pPr>
        <w:spacing w:line="48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南京中医药大学</w:t>
      </w:r>
      <w:r>
        <w:rPr>
          <w:rFonts w:hint="eastAsia" w:ascii="宋体" w:hAnsi="宋体" w:eastAsia="宋体" w:cs="宋体"/>
          <w:b/>
          <w:bCs/>
          <w:sz w:val="32"/>
          <w:szCs w:val="32"/>
        </w:rPr>
        <w:t>2022年度本科教育教学改革研究</w:t>
      </w:r>
      <w:r>
        <w:rPr>
          <w:rFonts w:hint="eastAsia" w:ascii="宋体" w:hAnsi="宋体" w:cs="宋体"/>
          <w:b/>
          <w:bCs/>
          <w:sz w:val="32"/>
          <w:szCs w:val="32"/>
          <w:lang w:eastAsia="zh-CN"/>
        </w:rPr>
        <w:t>课题</w:t>
      </w:r>
    </w:p>
    <w:p>
      <w:pPr>
        <w:spacing w:line="480" w:lineRule="auto"/>
        <w:jc w:val="center"/>
        <w:rPr>
          <w:rFonts w:hint="eastAsia" w:ascii="宋体" w:hAnsi="宋体" w:cs="宋体"/>
          <w:b/>
          <w:bCs/>
          <w:sz w:val="32"/>
          <w:szCs w:val="32"/>
          <w:lang w:eastAsia="zh-CN"/>
        </w:rPr>
      </w:pPr>
      <w:r>
        <w:rPr>
          <w:rFonts w:hint="eastAsia" w:ascii="宋体" w:hAnsi="宋体" w:eastAsia="宋体" w:cs="宋体"/>
          <w:b/>
          <w:bCs/>
          <w:sz w:val="32"/>
          <w:szCs w:val="32"/>
          <w:lang w:val="en-US" w:eastAsia="zh-CN"/>
        </w:rPr>
        <w:t>立项</w:t>
      </w:r>
      <w:r>
        <w:rPr>
          <w:rFonts w:hint="eastAsia" w:ascii="宋体" w:hAnsi="宋体" w:eastAsia="宋体" w:cs="宋体"/>
          <w:b/>
          <w:bCs/>
          <w:sz w:val="32"/>
          <w:szCs w:val="32"/>
        </w:rPr>
        <w:t>项目名单</w:t>
      </w:r>
      <w:r>
        <w:rPr>
          <w:rFonts w:hint="eastAsia" w:ascii="宋体" w:hAnsi="宋体" w:cs="宋体"/>
          <w:b/>
          <w:bCs/>
          <w:sz w:val="32"/>
          <w:szCs w:val="32"/>
          <w:lang w:eastAsia="zh-CN"/>
        </w:rPr>
        <w:t>（重大项目）</w:t>
      </w:r>
    </w:p>
    <w:p>
      <w:pPr>
        <w:spacing w:line="480" w:lineRule="auto"/>
        <w:jc w:val="center"/>
        <w:rPr>
          <w:rFonts w:hint="default" w:ascii="宋体" w:hAnsi="宋体" w:cs="宋体"/>
          <w:b/>
          <w:bCs/>
          <w:sz w:val="21"/>
          <w:szCs w:val="21"/>
          <w:lang w:val="en-US" w:eastAsia="zh-CN"/>
        </w:rPr>
      </w:pPr>
      <w:r>
        <w:rPr>
          <w:rFonts w:hint="eastAsia" w:ascii="宋体" w:hAnsi="宋体" w:cs="宋体"/>
          <w:b/>
          <w:bCs/>
          <w:sz w:val="21"/>
          <w:szCs w:val="21"/>
          <w:lang w:val="en-US" w:eastAsia="zh-CN"/>
        </w:rPr>
        <w:t>(排名不分先后)</w:t>
      </w:r>
    </w:p>
    <w:tbl>
      <w:tblPr>
        <w:tblStyle w:val="2"/>
        <w:tblW w:w="9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3084"/>
        <w:gridCol w:w="1633"/>
        <w:gridCol w:w="1600"/>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jc w:val="center"/>
        </w:trPr>
        <w:tc>
          <w:tcPr>
            <w:tcW w:w="1471" w:type="dxa"/>
            <w:vAlign w:val="center"/>
          </w:tcPr>
          <w:p>
            <w:pPr>
              <w:jc w:val="center"/>
              <w:rPr>
                <w:rFonts w:hint="default" w:ascii="Times New Roman" w:hAnsi="Times New Roman" w:eastAsia="黑体" w:cs="Times New Roman"/>
                <w:color w:val="auto"/>
                <w:sz w:val="28"/>
                <w:szCs w:val="28"/>
                <w:lang w:eastAsia="zh-CN"/>
              </w:rPr>
            </w:pPr>
            <w:r>
              <w:rPr>
                <w:rFonts w:hint="default" w:ascii="Times New Roman" w:hAnsi="Times New Roman" w:eastAsia="黑体" w:cs="Times New Roman"/>
                <w:color w:val="auto"/>
                <w:sz w:val="28"/>
                <w:szCs w:val="28"/>
                <w:lang w:eastAsia="zh-CN"/>
              </w:rPr>
              <w:t>项目编号</w:t>
            </w:r>
          </w:p>
        </w:tc>
        <w:tc>
          <w:tcPr>
            <w:tcW w:w="3084" w:type="dxa"/>
            <w:vAlign w:val="center"/>
          </w:tcPr>
          <w:p>
            <w:pPr>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课程名称</w:t>
            </w:r>
          </w:p>
        </w:tc>
        <w:tc>
          <w:tcPr>
            <w:tcW w:w="1633" w:type="dxa"/>
            <w:vAlign w:val="center"/>
          </w:tcPr>
          <w:p>
            <w:pPr>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负责人</w:t>
            </w:r>
          </w:p>
        </w:tc>
        <w:tc>
          <w:tcPr>
            <w:tcW w:w="1600" w:type="dxa"/>
            <w:vAlign w:val="center"/>
          </w:tcPr>
          <w:p>
            <w:pPr>
              <w:jc w:val="center"/>
              <w:rPr>
                <w:rFonts w:hint="default" w:ascii="Times New Roman" w:hAnsi="Times New Roman" w:eastAsia="黑体" w:cs="Times New Roman"/>
                <w:color w:val="auto"/>
                <w:sz w:val="28"/>
                <w:szCs w:val="28"/>
                <w:lang w:eastAsia="zh-CN"/>
              </w:rPr>
            </w:pPr>
            <w:r>
              <w:rPr>
                <w:rFonts w:hint="default" w:ascii="Times New Roman" w:hAnsi="Times New Roman" w:eastAsia="黑体" w:cs="Times New Roman"/>
                <w:color w:val="auto"/>
                <w:sz w:val="28"/>
                <w:szCs w:val="28"/>
                <w:lang w:eastAsia="zh-CN"/>
              </w:rPr>
              <w:t>课题类别</w:t>
            </w:r>
          </w:p>
        </w:tc>
        <w:tc>
          <w:tcPr>
            <w:tcW w:w="2041" w:type="dxa"/>
            <w:vAlign w:val="center"/>
          </w:tcPr>
          <w:p>
            <w:pPr>
              <w:jc w:val="center"/>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rPr>
              <w:t>所属</w:t>
            </w:r>
            <w:r>
              <w:rPr>
                <w:rFonts w:hint="default" w:ascii="Times New Roman" w:hAnsi="Times New Roman" w:eastAsia="黑体" w:cs="Times New Roman"/>
                <w:color w:val="auto"/>
                <w:sz w:val="28"/>
                <w:szCs w:val="28"/>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71" w:type="dxa"/>
            <w:vAlign w:val="center"/>
          </w:tcPr>
          <w:p>
            <w:pPr>
              <w:keepNext w:val="0"/>
              <w:keepLines w:val="0"/>
              <w:widowControl/>
              <w:suppressLineNumbers w:val="0"/>
              <w:jc w:val="center"/>
              <w:textAlignment w:val="bottom"/>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等线" w:cs="Times New Roman"/>
                <w:i w:val="0"/>
                <w:iCs w:val="0"/>
                <w:color w:val="000000"/>
                <w:kern w:val="0"/>
                <w:sz w:val="18"/>
                <w:szCs w:val="18"/>
                <w:u w:val="none"/>
                <w:lang w:val="en-US" w:eastAsia="zh-CN" w:bidi="ar"/>
              </w:rPr>
              <w:t>NZYJG2022001</w:t>
            </w:r>
          </w:p>
        </w:tc>
        <w:tc>
          <w:tcPr>
            <w:tcW w:w="308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中医拔尖创新人才培养模式研究与实践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方祝元</w:t>
            </w:r>
            <w:r>
              <w:rPr>
                <w:rFonts w:hint="default" w:ascii="Times New Roman" w:hAnsi="Times New Roman"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闵文</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重大项目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71" w:type="dxa"/>
            <w:vAlign w:val="center"/>
          </w:tcPr>
          <w:p>
            <w:pPr>
              <w:keepNext w:val="0"/>
              <w:keepLines w:val="0"/>
              <w:widowControl/>
              <w:suppressLineNumbers w:val="0"/>
              <w:jc w:val="center"/>
              <w:textAlignment w:val="bottom"/>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等线" w:cs="Times New Roman"/>
                <w:i w:val="0"/>
                <w:iCs w:val="0"/>
                <w:color w:val="000000"/>
                <w:kern w:val="0"/>
                <w:sz w:val="18"/>
                <w:szCs w:val="18"/>
                <w:u w:val="none"/>
                <w:lang w:val="en-US" w:eastAsia="zh-CN" w:bidi="ar"/>
              </w:rPr>
              <w:t>NZYJG2022002</w:t>
            </w:r>
          </w:p>
        </w:tc>
        <w:tc>
          <w:tcPr>
            <w:tcW w:w="308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中药学卓越人才培养模式创新研究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胡立宏</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重大项目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71" w:type="dxa"/>
            <w:vAlign w:val="center"/>
          </w:tcPr>
          <w:p>
            <w:pPr>
              <w:keepNext w:val="0"/>
              <w:keepLines w:val="0"/>
              <w:widowControl/>
              <w:suppressLineNumbers w:val="0"/>
              <w:jc w:val="center"/>
              <w:textAlignment w:val="bottom"/>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等线" w:cs="Times New Roman"/>
                <w:i w:val="0"/>
                <w:iCs w:val="0"/>
                <w:color w:val="000000"/>
                <w:kern w:val="0"/>
                <w:sz w:val="18"/>
                <w:szCs w:val="18"/>
                <w:u w:val="none"/>
                <w:lang w:val="en-US" w:eastAsia="zh-CN" w:bidi="ar"/>
              </w:rPr>
              <w:t>NZYJG2022003</w:t>
            </w:r>
          </w:p>
        </w:tc>
        <w:tc>
          <w:tcPr>
            <w:tcW w:w="308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基于“中西医融合”理念探索中西医临床医学长学制专业（本博贯通）人才培养的创新模式</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马勇</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重大项目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71" w:type="dxa"/>
            <w:vAlign w:val="center"/>
          </w:tcPr>
          <w:p>
            <w:pPr>
              <w:keepNext w:val="0"/>
              <w:keepLines w:val="0"/>
              <w:widowControl/>
              <w:suppressLineNumbers w:val="0"/>
              <w:jc w:val="center"/>
              <w:textAlignment w:val="bottom"/>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等线" w:cs="Times New Roman"/>
                <w:i w:val="0"/>
                <w:iCs w:val="0"/>
                <w:color w:val="000000"/>
                <w:kern w:val="0"/>
                <w:sz w:val="18"/>
                <w:szCs w:val="18"/>
                <w:u w:val="none"/>
                <w:lang w:val="en-US" w:eastAsia="zh-CN" w:bidi="ar"/>
              </w:rPr>
              <w:t>NZYJG2022004</w:t>
            </w:r>
          </w:p>
        </w:tc>
        <w:tc>
          <w:tcPr>
            <w:tcW w:w="308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协作治理视角下养老服务管理人才培养体系研究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乔学斌、田侃</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重大项目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i w:val="0"/>
                <w:iCs w:val="0"/>
                <w:color w:val="000000"/>
                <w:kern w:val="0"/>
                <w:sz w:val="21"/>
                <w:szCs w:val="21"/>
                <w:u w:val="none"/>
                <w:lang w:val="en-US" w:eastAsia="zh-CN" w:bidi="ar"/>
              </w:rPr>
              <w:t>养老服务与管理学院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71" w:type="dxa"/>
            <w:vAlign w:val="center"/>
          </w:tcPr>
          <w:p>
            <w:pPr>
              <w:keepNext w:val="0"/>
              <w:keepLines w:val="0"/>
              <w:widowControl/>
              <w:suppressLineNumbers w:val="0"/>
              <w:jc w:val="center"/>
              <w:textAlignment w:val="bottom"/>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等线" w:cs="Times New Roman"/>
                <w:i w:val="0"/>
                <w:iCs w:val="0"/>
                <w:color w:val="000000"/>
                <w:kern w:val="0"/>
                <w:sz w:val="18"/>
                <w:szCs w:val="18"/>
                <w:u w:val="none"/>
                <w:lang w:val="en-US" w:eastAsia="zh-CN" w:bidi="ar"/>
              </w:rPr>
              <w:t>NZYJG2022005</w:t>
            </w:r>
          </w:p>
        </w:tc>
        <w:tc>
          <w:tcPr>
            <w:tcW w:w="308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“新医科”背景下中医药高等教育人才培养战略研究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徐桂华</w:t>
            </w:r>
            <w:r>
              <w:rPr>
                <w:rFonts w:hint="default" w:ascii="Times New Roman" w:hAnsi="Times New Roman" w:cs="Times New Roman"/>
                <w:i w:val="0"/>
                <w:iCs w:val="0"/>
                <w:color w:val="auto"/>
                <w:kern w:val="0"/>
                <w:sz w:val="21"/>
                <w:szCs w:val="21"/>
                <w:u w:val="none"/>
                <w:lang w:val="en-US" w:eastAsia="zh-CN" w:bidi="ar"/>
              </w:rPr>
              <w:t>、狄留庆</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重大项目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教务处</w:t>
            </w:r>
          </w:p>
        </w:tc>
      </w:tr>
    </w:tbl>
    <w:p>
      <w:pPr>
        <w:spacing w:line="480" w:lineRule="auto"/>
        <w:jc w:val="center"/>
        <w:rPr>
          <w:rFonts w:hint="eastAsia" w:ascii="宋体" w:hAnsi="宋体" w:eastAsia="宋体" w:cs="宋体"/>
          <w:b/>
          <w:bCs/>
          <w:sz w:val="32"/>
          <w:szCs w:val="32"/>
          <w:lang w:val="en-US" w:eastAsia="zh-CN"/>
        </w:rPr>
      </w:pPr>
    </w:p>
    <w:p>
      <w:pPr>
        <w:spacing w:line="480" w:lineRule="auto"/>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南京中医药大学</w:t>
      </w:r>
      <w:r>
        <w:rPr>
          <w:rFonts w:hint="eastAsia" w:ascii="宋体" w:hAnsi="宋体" w:eastAsia="宋体" w:cs="宋体"/>
          <w:b/>
          <w:bCs/>
          <w:sz w:val="32"/>
          <w:szCs w:val="32"/>
        </w:rPr>
        <w:t>2022年度本科教育教学改革研究</w:t>
      </w:r>
      <w:r>
        <w:rPr>
          <w:rFonts w:hint="eastAsia" w:ascii="宋体" w:hAnsi="宋体" w:cs="宋体"/>
          <w:b/>
          <w:bCs/>
          <w:sz w:val="32"/>
          <w:szCs w:val="32"/>
          <w:lang w:eastAsia="zh-CN"/>
        </w:rPr>
        <w:t>课题</w:t>
      </w:r>
    </w:p>
    <w:p>
      <w:pPr>
        <w:spacing w:line="480" w:lineRule="auto"/>
        <w:jc w:val="center"/>
        <w:rPr>
          <w:rFonts w:hint="eastAsia" w:ascii="宋体" w:hAnsi="宋体" w:cs="宋体"/>
          <w:b/>
          <w:bCs/>
          <w:sz w:val="32"/>
          <w:szCs w:val="32"/>
          <w:lang w:eastAsia="zh-CN"/>
        </w:rPr>
      </w:pPr>
      <w:r>
        <w:rPr>
          <w:rFonts w:hint="eastAsia" w:ascii="宋体" w:hAnsi="宋体" w:eastAsia="宋体" w:cs="宋体"/>
          <w:b/>
          <w:bCs/>
          <w:sz w:val="32"/>
          <w:szCs w:val="32"/>
          <w:lang w:val="en-US" w:eastAsia="zh-CN"/>
        </w:rPr>
        <w:t>立项</w:t>
      </w:r>
      <w:r>
        <w:rPr>
          <w:rFonts w:hint="eastAsia" w:ascii="宋体" w:hAnsi="宋体" w:eastAsia="宋体" w:cs="宋体"/>
          <w:b/>
          <w:bCs/>
          <w:sz w:val="32"/>
          <w:szCs w:val="32"/>
        </w:rPr>
        <w:t>项目名单</w:t>
      </w:r>
      <w:r>
        <w:rPr>
          <w:rFonts w:hint="eastAsia" w:ascii="宋体" w:hAnsi="宋体" w:cs="宋体"/>
          <w:b/>
          <w:bCs/>
          <w:sz w:val="32"/>
          <w:szCs w:val="32"/>
          <w:lang w:eastAsia="zh-CN"/>
        </w:rPr>
        <w:t>（重点项目）</w:t>
      </w:r>
    </w:p>
    <w:p>
      <w:pPr>
        <w:spacing w:line="480" w:lineRule="auto"/>
        <w:jc w:val="center"/>
        <w:rPr>
          <w:rFonts w:hint="eastAsia" w:ascii="宋体" w:hAnsi="宋体" w:cs="宋体"/>
          <w:b/>
          <w:bCs/>
          <w:sz w:val="21"/>
          <w:szCs w:val="21"/>
          <w:lang w:val="en-US" w:eastAsia="zh-CN"/>
        </w:rPr>
      </w:pPr>
      <w:r>
        <w:rPr>
          <w:rFonts w:hint="eastAsia" w:ascii="宋体" w:hAnsi="宋体" w:cs="宋体"/>
          <w:b/>
          <w:bCs/>
          <w:sz w:val="21"/>
          <w:szCs w:val="21"/>
          <w:lang w:val="en-US" w:eastAsia="zh-CN"/>
        </w:rPr>
        <w:t>(排名不分先后)</w:t>
      </w:r>
    </w:p>
    <w:tbl>
      <w:tblPr>
        <w:tblStyle w:val="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3014"/>
        <w:gridCol w:w="1633"/>
        <w:gridCol w:w="1600"/>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jc w:val="center"/>
        </w:trPr>
        <w:tc>
          <w:tcPr>
            <w:tcW w:w="1459" w:type="dxa"/>
            <w:vAlign w:val="center"/>
          </w:tcPr>
          <w:p>
            <w:pPr>
              <w:jc w:val="center"/>
              <w:rPr>
                <w:rFonts w:ascii="黑体" w:hAnsi="黑体" w:eastAsia="黑体"/>
                <w:color w:val="auto"/>
                <w:sz w:val="28"/>
                <w:szCs w:val="28"/>
              </w:rPr>
            </w:pPr>
            <w:r>
              <w:rPr>
                <w:rFonts w:hint="default" w:ascii="Times New Roman" w:hAnsi="Times New Roman" w:eastAsia="黑体" w:cs="Times New Roman"/>
                <w:color w:val="auto"/>
                <w:sz w:val="28"/>
                <w:szCs w:val="28"/>
                <w:lang w:eastAsia="zh-CN"/>
              </w:rPr>
              <w:t>项目编号</w:t>
            </w:r>
          </w:p>
        </w:tc>
        <w:tc>
          <w:tcPr>
            <w:tcW w:w="3014"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课程名称</w:t>
            </w:r>
          </w:p>
        </w:tc>
        <w:tc>
          <w:tcPr>
            <w:tcW w:w="1633"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负责人</w:t>
            </w:r>
          </w:p>
        </w:tc>
        <w:tc>
          <w:tcPr>
            <w:tcW w:w="1600" w:type="dxa"/>
            <w:vAlign w:val="center"/>
          </w:tcPr>
          <w:p>
            <w:pPr>
              <w:jc w:val="center"/>
              <w:rPr>
                <w:rFonts w:hint="eastAsia" w:ascii="黑体" w:hAnsi="黑体" w:eastAsia="黑体"/>
                <w:color w:val="auto"/>
                <w:sz w:val="28"/>
                <w:szCs w:val="28"/>
                <w:lang w:eastAsia="zh-CN"/>
              </w:rPr>
            </w:pPr>
            <w:r>
              <w:rPr>
                <w:rFonts w:hint="eastAsia" w:ascii="黑体" w:hAnsi="黑体" w:eastAsia="黑体"/>
                <w:color w:val="auto"/>
                <w:sz w:val="28"/>
                <w:szCs w:val="28"/>
                <w:lang w:eastAsia="zh-CN"/>
              </w:rPr>
              <w:t>课题类别</w:t>
            </w:r>
          </w:p>
        </w:tc>
        <w:tc>
          <w:tcPr>
            <w:tcW w:w="2041" w:type="dxa"/>
            <w:vAlign w:val="center"/>
          </w:tcPr>
          <w:p>
            <w:pPr>
              <w:jc w:val="center"/>
              <w:rPr>
                <w:rFonts w:hint="eastAsia" w:ascii="黑体" w:hAnsi="黑体" w:eastAsia="黑体"/>
                <w:color w:val="auto"/>
                <w:sz w:val="28"/>
                <w:szCs w:val="28"/>
                <w:lang w:val="en-US" w:eastAsia="zh-CN"/>
              </w:rPr>
            </w:pPr>
            <w:r>
              <w:rPr>
                <w:rFonts w:hint="eastAsia" w:ascii="黑体" w:hAnsi="黑体" w:eastAsia="黑体"/>
                <w:color w:val="auto"/>
                <w:sz w:val="28"/>
                <w:szCs w:val="28"/>
              </w:rPr>
              <w:t>所属</w:t>
            </w:r>
            <w:r>
              <w:rPr>
                <w:rFonts w:hint="eastAsia" w:ascii="黑体" w:hAnsi="黑体" w:eastAsia="黑体"/>
                <w:color w:val="auto"/>
                <w:sz w:val="28"/>
                <w:szCs w:val="28"/>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NZYJG2022006</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“多维协同”视域下的中西医临床医学专业人才培养模式探索研究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张宏如、林瑜</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NZYJG2022007</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基于可持续发展的学生中药学学业增值性评价探索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杭爱武</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eastAsia"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NZYJG2022008</w:t>
            </w:r>
          </w:p>
        </w:tc>
        <w:tc>
          <w:tcPr>
            <w:tcW w:w="3014"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新医科背景下附属医院教育教学体系建设的探索与实践研究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马顾全</w:t>
            </w:r>
          </w:p>
        </w:tc>
        <w:tc>
          <w:tcPr>
            <w:tcW w:w="1600"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eastAsia"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NZYJG2022009</w:t>
            </w:r>
          </w:p>
        </w:tc>
        <w:tc>
          <w:tcPr>
            <w:tcW w:w="3014"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面向新医科的“医教协同，复合创新”针推康复人才培养模式改革创新研究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王磊</w:t>
            </w:r>
          </w:p>
        </w:tc>
        <w:tc>
          <w:tcPr>
            <w:tcW w:w="1600"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NZYJG2022010</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＂政产学研＂四位一体协同创新下的中药资源与开发专业人才培养模式构建与实践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谷巍</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NZYJG2022011</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中药学九年制新兴交叉融合课程的探索与实践——以结构中药学为例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乔宏志</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NZYJG2022012</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中药学类国家级实验教学中心创新新人才培养模式的研究与实践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李念光</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NZYJG2022013</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互联网+背景下“以学习为中心”的混合式教学模式探索与实践  </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詹秀琴、钱进军</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NZYJG2022014</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“智能+”背景下中医护理基层教学组织建设探索与实践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严姝霞</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NZYJG2022015</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“三全育人”视域下“劳动+”护理专业教育实践路径研究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黄芳</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NZYJG2022016</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赛教融合视域下护理临床思维训练课程的设计与实证研究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林丹</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NZYJG2022017</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基于行动研究的医药类院校创新创业教育与专业教育深度融合的人才培养体系构建</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宋宝香、杜启霞</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NZYJG2022018</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基于学生评教视角的专业建设研究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钱爱兵</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NZYJG2022019</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中医药数据科学融合创新教材建设研究与实践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杨涛</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NZYJG2022020</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“人工智能+X”计算机教学实验室可共享软件环境体系研究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郑晓梅</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NZYJG2022021</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“五育融合”视域下中医药院校的美育模式创新研究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王思特</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NZYJG2022022</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基于活态传承的中医流派传承教学训练系统研究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李蔚</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图书馆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NZYJG2022023</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“双一流”大学附属医院本科生中医临床思维培养模式的改革与创新</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徐凯</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NZYJG2022024</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“双一流”建设视域下高校教师思想政治和师德师风建设的现实挑战和可行路径研究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田乐、刘丹青</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党委宣传部、党委教师工作部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59" w:type="dxa"/>
            <w:vAlign w:val="center"/>
          </w:tcPr>
          <w:p>
            <w:pPr>
              <w:keepNext w:val="0"/>
              <w:keepLines w:val="0"/>
              <w:widowControl/>
              <w:suppressLineNumbers w:val="0"/>
              <w:jc w:val="both"/>
              <w:textAlignment w:val="center"/>
              <w:rPr>
                <w:rFonts w:hint="default" w:ascii="Times New Roman" w:hAnsi="Times New Roman" w:eastAsia="等线"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NZYJG2022025</w:t>
            </w:r>
          </w:p>
        </w:tc>
        <w:tc>
          <w:tcPr>
            <w:tcW w:w="3014"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医学院校虚拟仿真实验教学课程高质量建设与应用研究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高锦飚</w:t>
            </w:r>
            <w:r>
              <w:rPr>
                <w:rFonts w:hint="eastAsia" w:ascii="宋体" w:hAnsi="宋体" w:cs="宋体"/>
                <w:i w:val="0"/>
                <w:iCs w:val="0"/>
                <w:color w:val="000000"/>
                <w:kern w:val="0"/>
                <w:sz w:val="21"/>
                <w:szCs w:val="21"/>
                <w:u w:val="none"/>
                <w:lang w:val="en-US" w:eastAsia="zh-CN" w:bidi="ar"/>
              </w:rPr>
              <w:t>、祖强</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重点项目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教务处</w:t>
            </w:r>
          </w:p>
        </w:tc>
      </w:tr>
    </w:tbl>
    <w:p>
      <w:pPr>
        <w:spacing w:line="480" w:lineRule="auto"/>
        <w:jc w:val="center"/>
        <w:rPr>
          <w:rFonts w:hint="default" w:ascii="Arial" w:hAnsi="Arial" w:eastAsia="宋体" w:cs="Arial"/>
          <w:i w:val="0"/>
          <w:iCs w:val="0"/>
          <w:caps w:val="0"/>
          <w:color w:val="333333"/>
          <w:spacing w:val="0"/>
          <w:sz w:val="25"/>
          <w:szCs w:val="25"/>
          <w:shd w:val="clear" w:fill="FFFFFF"/>
        </w:rPr>
      </w:pPr>
    </w:p>
    <w:p>
      <w:pPr>
        <w:spacing w:line="480" w:lineRule="auto"/>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南京中医药大学</w:t>
      </w:r>
      <w:r>
        <w:rPr>
          <w:rFonts w:hint="eastAsia" w:ascii="宋体" w:hAnsi="宋体" w:eastAsia="宋体" w:cs="宋体"/>
          <w:b/>
          <w:bCs/>
          <w:sz w:val="32"/>
          <w:szCs w:val="32"/>
        </w:rPr>
        <w:t>2022年度本科教育教学改革研究</w:t>
      </w:r>
      <w:r>
        <w:rPr>
          <w:rFonts w:hint="eastAsia" w:ascii="宋体" w:hAnsi="宋体" w:cs="宋体"/>
          <w:b/>
          <w:bCs/>
          <w:sz w:val="32"/>
          <w:szCs w:val="32"/>
          <w:lang w:eastAsia="zh-CN"/>
        </w:rPr>
        <w:t>课题</w:t>
      </w:r>
    </w:p>
    <w:p>
      <w:pPr>
        <w:spacing w:line="480" w:lineRule="auto"/>
        <w:jc w:val="center"/>
        <w:rPr>
          <w:rFonts w:hint="eastAsia" w:ascii="宋体" w:hAnsi="宋体" w:cs="宋体"/>
          <w:b/>
          <w:bCs/>
          <w:sz w:val="32"/>
          <w:szCs w:val="32"/>
          <w:lang w:eastAsia="zh-CN"/>
        </w:rPr>
      </w:pPr>
      <w:r>
        <w:rPr>
          <w:rFonts w:hint="eastAsia" w:ascii="宋体" w:hAnsi="宋体" w:eastAsia="宋体" w:cs="宋体"/>
          <w:b/>
          <w:bCs/>
          <w:sz w:val="32"/>
          <w:szCs w:val="32"/>
          <w:lang w:val="en-US" w:eastAsia="zh-CN"/>
        </w:rPr>
        <w:t>立项</w:t>
      </w:r>
      <w:r>
        <w:rPr>
          <w:rFonts w:hint="eastAsia" w:ascii="宋体" w:hAnsi="宋体" w:eastAsia="宋体" w:cs="宋体"/>
          <w:b/>
          <w:bCs/>
          <w:sz w:val="32"/>
          <w:szCs w:val="32"/>
        </w:rPr>
        <w:t>项目名单</w:t>
      </w:r>
      <w:r>
        <w:rPr>
          <w:rFonts w:hint="eastAsia" w:ascii="宋体" w:hAnsi="宋体" w:cs="宋体"/>
          <w:b/>
          <w:bCs/>
          <w:sz w:val="32"/>
          <w:szCs w:val="32"/>
          <w:lang w:eastAsia="zh-CN"/>
        </w:rPr>
        <w:t>（一般项目）</w:t>
      </w:r>
    </w:p>
    <w:p>
      <w:pPr>
        <w:spacing w:line="480" w:lineRule="auto"/>
        <w:jc w:val="center"/>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(排名不分先后)</w:t>
      </w:r>
    </w:p>
    <w:tbl>
      <w:tblPr>
        <w:tblStyle w:val="2"/>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2973"/>
        <w:gridCol w:w="1633"/>
        <w:gridCol w:w="1600"/>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jc w:val="center"/>
        </w:trPr>
        <w:tc>
          <w:tcPr>
            <w:tcW w:w="1441" w:type="dxa"/>
            <w:vAlign w:val="center"/>
          </w:tcPr>
          <w:p>
            <w:pPr>
              <w:jc w:val="center"/>
              <w:rPr>
                <w:rFonts w:ascii="黑体" w:hAnsi="黑体" w:eastAsia="黑体"/>
                <w:color w:val="auto"/>
                <w:sz w:val="28"/>
                <w:szCs w:val="28"/>
              </w:rPr>
            </w:pPr>
            <w:r>
              <w:rPr>
                <w:rFonts w:hint="default" w:ascii="Times New Roman" w:hAnsi="Times New Roman" w:eastAsia="黑体" w:cs="Times New Roman"/>
                <w:color w:val="auto"/>
                <w:sz w:val="28"/>
                <w:szCs w:val="28"/>
                <w:lang w:eastAsia="zh-CN"/>
              </w:rPr>
              <w:t>项目编号</w:t>
            </w:r>
          </w:p>
        </w:tc>
        <w:tc>
          <w:tcPr>
            <w:tcW w:w="2973"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课程名称</w:t>
            </w:r>
          </w:p>
        </w:tc>
        <w:tc>
          <w:tcPr>
            <w:tcW w:w="1633"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负责人</w:t>
            </w:r>
          </w:p>
        </w:tc>
        <w:tc>
          <w:tcPr>
            <w:tcW w:w="1600" w:type="dxa"/>
            <w:vAlign w:val="center"/>
          </w:tcPr>
          <w:p>
            <w:pPr>
              <w:jc w:val="center"/>
              <w:rPr>
                <w:rFonts w:hint="eastAsia" w:ascii="黑体" w:hAnsi="黑体" w:eastAsia="黑体"/>
                <w:color w:val="auto"/>
                <w:sz w:val="28"/>
                <w:szCs w:val="28"/>
                <w:lang w:eastAsia="zh-CN"/>
              </w:rPr>
            </w:pPr>
            <w:r>
              <w:rPr>
                <w:rFonts w:hint="eastAsia" w:ascii="黑体" w:hAnsi="黑体" w:eastAsia="黑体"/>
                <w:color w:val="auto"/>
                <w:sz w:val="28"/>
                <w:szCs w:val="28"/>
                <w:lang w:eastAsia="zh-CN"/>
              </w:rPr>
              <w:t>课题类别</w:t>
            </w:r>
          </w:p>
        </w:tc>
        <w:tc>
          <w:tcPr>
            <w:tcW w:w="2041" w:type="dxa"/>
            <w:vAlign w:val="center"/>
          </w:tcPr>
          <w:p>
            <w:pPr>
              <w:jc w:val="center"/>
              <w:rPr>
                <w:rFonts w:hint="eastAsia" w:ascii="黑体" w:hAnsi="黑体" w:eastAsia="黑体"/>
                <w:color w:val="auto"/>
                <w:sz w:val="28"/>
                <w:szCs w:val="28"/>
                <w:lang w:val="en-US" w:eastAsia="zh-CN"/>
              </w:rPr>
            </w:pPr>
            <w:r>
              <w:rPr>
                <w:rFonts w:hint="eastAsia" w:ascii="黑体" w:hAnsi="黑体" w:eastAsia="黑体"/>
                <w:color w:val="auto"/>
                <w:sz w:val="28"/>
                <w:szCs w:val="28"/>
              </w:rPr>
              <w:t>所属</w:t>
            </w:r>
            <w:r>
              <w:rPr>
                <w:rFonts w:hint="eastAsia" w:ascii="黑体" w:hAnsi="黑体" w:eastAsia="黑体"/>
                <w:color w:val="auto"/>
                <w:sz w:val="28"/>
                <w:szCs w:val="28"/>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NZYJG2022026</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《中国疫病史》融合教材建设与多元化教学实践研究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付鹏、张继</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NZYJG2022027</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科教融合的中医基础理论多元化教学实践研究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史俊</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NZYJG2022028</w:t>
            </w:r>
          </w:p>
        </w:tc>
        <w:tc>
          <w:tcPr>
            <w:tcW w:w="2973"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循证思维融入康复治疗学专业课程的实践研究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金彦</w:t>
            </w:r>
          </w:p>
        </w:tc>
        <w:tc>
          <w:tcPr>
            <w:tcW w:w="1600"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NZYJG2022029</w:t>
            </w:r>
          </w:p>
        </w:tc>
        <w:tc>
          <w:tcPr>
            <w:tcW w:w="2973"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新医科背景下中医养生学概论课程思政研究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涂玥</w:t>
            </w:r>
          </w:p>
        </w:tc>
        <w:tc>
          <w:tcPr>
            <w:tcW w:w="1600"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NZYJG2022030</w:t>
            </w:r>
          </w:p>
        </w:tc>
        <w:tc>
          <w:tcPr>
            <w:tcW w:w="2973"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双一流背景下中医药创新人才培养平台建设研究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景欣悦</w:t>
            </w:r>
          </w:p>
        </w:tc>
        <w:tc>
          <w:tcPr>
            <w:tcW w:w="1600"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NZYJG2022031</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面向先进制造的中药学实践教学体系探索与评价</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潘林梅</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NZYJG2022032</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基于创新型人才培养的《中药药理学》教学改革研究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吴丽</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NZYJG2022033</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中药学类专业双创育人的实践与探索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谢波</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NZYJG2022034</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“课内-课外”融合贯通的多维度形成性评价体系在《中药化学》教学中的实践与应用研究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周桂生</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NZYJG2022035</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基于“金课”的有机化学双语课程建设</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徐春蕾</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NZYJG2022036</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以学生为中心深度学习《病理生理学》混合式教学体系建设</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姚琦、麻彤辉</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NZYJG2022037</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基于“两性一度”的《微生物与免疫学》线上线下混合式一流课程建设的探索与实践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王鑫烁、佟书娟</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NZYJG2022038</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中医药院校“医学人文与职业素养”启蒙教育的探索与实践——基于解剖学课程的“无言良师”感恩教育</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关晓伟、蔡庆龙</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NZYJG2022039</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基于CIPP模型的护理专业虚拟仿真实验项目评价体系研究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张薛晴、刘辰辰</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NZYJG2022040</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基于移动微学习的经络腧穴与护理课程混合式教学实践探索与研究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姜荣荣</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NZYJG2022041</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“三全育人”视域下护理专业本科生临床学习环境研究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徐蕴</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NZYJG2022042</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翻转课堂教学模式在《传染病护理学》教学中的应用效果研究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焦文娟</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NZYJG2022043</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基于BOPPPS模组结构的混合式教学在《内科护理学》教学中的应用研究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钱鑫</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NZYJG2022044</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新文科背景下经管类专业实验教学模式研究与实践-基于学生满意度视角</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朱泉同</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NZYJG2022045</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医工结合，大学生“七位一体”创新创业教育模式的研究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佘侃侃</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NZYJG2022046</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基于参与理论的大学生科研素养影响因素与培养路径研究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孙荪</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NZYJG2022047</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政校合作模式下基于OBE理念的养老服务管理本科实践教学探究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罗凤琦</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养老服务与管理学院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NZYJG2022048</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“大思政”格局下中医药院校“思政综合社会实践”课教学改革研究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王曼</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NZYJG2022049</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基于医疗数据的床边班本科临床课程优化及实践研究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赵峰</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南京中医药大学附属南京中医院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NZYJG2022050</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基于OSCE信息化考核模式对提高本科护生临床能力的研究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谢瑞怡</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等线" w:hAnsi="等线" w:eastAsia="等线" w:cs="等线"/>
                <w:i w:val="0"/>
                <w:iCs w:val="0"/>
                <w:color w:val="auto"/>
                <w:kern w:val="0"/>
                <w:sz w:val="22"/>
                <w:szCs w:val="22"/>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NZYJG2022051</w:t>
            </w:r>
          </w:p>
        </w:tc>
        <w:tc>
          <w:tcPr>
            <w:tcW w:w="2973"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基于建构主义理论的高等院校护生临床实践过程性评价指标体系研究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沈轶</w:t>
            </w:r>
          </w:p>
        </w:tc>
        <w:tc>
          <w:tcPr>
            <w:tcW w:w="1600"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NZYJG2022052</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PDCA循环在附属医院基层教学组织管理中的应用研究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钱桂英</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南京中医药大学常熟附属医院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NZYJG2022053</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后期临床教学标准化带教路径的研究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许妍妍、杨祁</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NZYJG2022054</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思维导图联合CBL的中医护生临床思维能力教学模式研究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程喜荣</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NZYJG2022055</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中医经典理论与中医内科学融合创新毕业实习教学模式的研究与实践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毕礼明</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南京中医药大学无锡附属医院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NZYJG2022056</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多位点教学督导提升临床教学质量的研究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黄菲</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南京中医药大学苏州附属医院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NZYJG2022057</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“需求导向、信仰引领、医研融合、践行强基”中医学卓越医生教育培养体系的构建与实践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王新东</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南京中医药大学附属中西医结合医院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NZYJG2022058</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基于迷你临床演练评估（Mini-CEX）在实习生临床实践能力培养的应用探讨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孙昭睿</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南京中医药大学连云港附属医院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NZYJG2022059</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PDCA管理办法及微格教学法在实习医生临床基本技能培训中的应用研</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徐丹</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南京中医药大学太仓附属医院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NZYJG2022060</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中医护理临床综合实践培训模式探讨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何小娟</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南京中医院大学淮安附属医院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NZYJG2022061</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以学生为主体的形成性评价在附属医院临床教学质量评价体系中的应用研究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王俊敏</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南京中医药大学附属南京市中西医结合医院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NZYJG2022062</w:t>
            </w:r>
          </w:p>
        </w:tc>
        <w:tc>
          <w:tcPr>
            <w:tcW w:w="297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“立德树人”背景下《中医老年病学》教学与课程思政有效融合路径探索与实证研究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张世勤、朱震</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党委组织部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NZYJG2022063</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南京中医药大学来华留学生国情教育社会实践体系构建研究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陈娟</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国际教育学院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NZYJG2022064</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中医专业床边教学质量评价体系的构建与研究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杨杰</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41"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NZYJG2022065</w:t>
            </w:r>
          </w:p>
        </w:tc>
        <w:tc>
          <w:tcPr>
            <w:tcW w:w="2973"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国内外跨校学分互认机制和管理制度研究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孙雅楠</w:t>
            </w:r>
          </w:p>
        </w:tc>
        <w:tc>
          <w:tcPr>
            <w:tcW w:w="1600"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教务处</w:t>
            </w:r>
          </w:p>
        </w:tc>
      </w:tr>
    </w:tbl>
    <w:p>
      <w:pPr>
        <w:rPr>
          <w:rFonts w:hint="default" w:ascii="Arial" w:hAnsi="Arial" w:eastAsia="宋体" w:cs="Arial"/>
          <w:i w:val="0"/>
          <w:iCs w:val="0"/>
          <w:caps w:val="0"/>
          <w:color w:val="333333"/>
          <w:spacing w:val="0"/>
          <w:sz w:val="25"/>
          <w:szCs w:val="25"/>
          <w:shd w:val="clear" w:fill="FFFFFF"/>
        </w:rPr>
      </w:pPr>
    </w:p>
    <w:p>
      <w:pPr>
        <w:rPr>
          <w:rFonts w:hint="default" w:ascii="Arial" w:hAnsi="Arial" w:eastAsia="宋体" w:cs="Arial"/>
          <w:i w:val="0"/>
          <w:iCs w:val="0"/>
          <w:caps w:val="0"/>
          <w:color w:val="333333"/>
          <w:spacing w:val="0"/>
          <w:sz w:val="25"/>
          <w:szCs w:val="25"/>
          <w:shd w:val="clear" w:fill="FFFFFF"/>
        </w:rPr>
      </w:pPr>
    </w:p>
    <w:p>
      <w:pPr>
        <w:spacing w:line="480" w:lineRule="auto"/>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南京中医药大学</w:t>
      </w:r>
      <w:r>
        <w:rPr>
          <w:rFonts w:hint="eastAsia" w:ascii="宋体" w:hAnsi="宋体" w:eastAsia="宋体" w:cs="宋体"/>
          <w:b/>
          <w:bCs/>
          <w:sz w:val="32"/>
          <w:szCs w:val="32"/>
        </w:rPr>
        <w:t>2022年度本科教育教学改革研究</w:t>
      </w:r>
      <w:r>
        <w:rPr>
          <w:rFonts w:hint="eastAsia" w:ascii="宋体" w:hAnsi="宋体" w:cs="宋体"/>
          <w:b/>
          <w:bCs/>
          <w:sz w:val="32"/>
          <w:szCs w:val="32"/>
          <w:lang w:eastAsia="zh-CN"/>
        </w:rPr>
        <w:t>课题</w:t>
      </w:r>
    </w:p>
    <w:p>
      <w:pPr>
        <w:spacing w:line="480" w:lineRule="auto"/>
        <w:jc w:val="center"/>
        <w:rPr>
          <w:rFonts w:hint="eastAsia" w:ascii="宋体" w:hAnsi="宋体" w:cs="宋体"/>
          <w:b/>
          <w:bCs/>
          <w:sz w:val="32"/>
          <w:szCs w:val="32"/>
          <w:lang w:eastAsia="zh-CN"/>
        </w:rPr>
      </w:pPr>
      <w:r>
        <w:rPr>
          <w:rFonts w:hint="eastAsia" w:ascii="宋体" w:hAnsi="宋体" w:eastAsia="宋体" w:cs="宋体"/>
          <w:b/>
          <w:bCs/>
          <w:sz w:val="32"/>
          <w:szCs w:val="32"/>
          <w:lang w:val="en-US" w:eastAsia="zh-CN"/>
        </w:rPr>
        <w:t>立项</w:t>
      </w:r>
      <w:r>
        <w:rPr>
          <w:rFonts w:hint="eastAsia" w:ascii="宋体" w:hAnsi="宋体" w:eastAsia="宋体" w:cs="宋体"/>
          <w:b/>
          <w:bCs/>
          <w:sz w:val="32"/>
          <w:szCs w:val="32"/>
        </w:rPr>
        <w:t>项目名单</w:t>
      </w:r>
      <w:r>
        <w:rPr>
          <w:rFonts w:hint="eastAsia" w:ascii="宋体" w:hAnsi="宋体" w:cs="宋体"/>
          <w:b/>
          <w:bCs/>
          <w:sz w:val="32"/>
          <w:szCs w:val="32"/>
          <w:lang w:eastAsia="zh-CN"/>
        </w:rPr>
        <w:t>（一般项目</w:t>
      </w:r>
      <w:r>
        <w:rPr>
          <w:rFonts w:hint="eastAsia" w:ascii="宋体" w:hAnsi="宋体" w:cs="宋体"/>
          <w:b/>
          <w:bCs/>
          <w:sz w:val="32"/>
          <w:szCs w:val="32"/>
          <w:lang w:val="en-US" w:eastAsia="zh-CN"/>
        </w:rPr>
        <w:t xml:space="preserve"> 立项不资助</w:t>
      </w:r>
      <w:r>
        <w:rPr>
          <w:rFonts w:hint="eastAsia" w:ascii="宋体" w:hAnsi="宋体" w:cs="宋体"/>
          <w:b/>
          <w:bCs/>
          <w:sz w:val="32"/>
          <w:szCs w:val="32"/>
          <w:lang w:eastAsia="zh-CN"/>
        </w:rPr>
        <w:t>）</w:t>
      </w:r>
    </w:p>
    <w:p>
      <w:pPr>
        <w:spacing w:line="480" w:lineRule="auto"/>
        <w:jc w:val="center"/>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(排名不分先后)</w:t>
      </w:r>
    </w:p>
    <w:tbl>
      <w:tblPr>
        <w:tblStyle w:val="2"/>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2986"/>
        <w:gridCol w:w="1633"/>
        <w:gridCol w:w="1600"/>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jc w:val="center"/>
        </w:trPr>
        <w:tc>
          <w:tcPr>
            <w:tcW w:w="1428" w:type="dxa"/>
            <w:vAlign w:val="center"/>
          </w:tcPr>
          <w:p>
            <w:pPr>
              <w:jc w:val="center"/>
              <w:rPr>
                <w:rFonts w:ascii="黑体" w:hAnsi="黑体" w:eastAsia="黑体"/>
                <w:color w:val="auto"/>
                <w:sz w:val="28"/>
                <w:szCs w:val="28"/>
              </w:rPr>
            </w:pPr>
            <w:r>
              <w:rPr>
                <w:rFonts w:hint="default" w:ascii="Times New Roman" w:hAnsi="Times New Roman" w:eastAsia="黑体" w:cs="Times New Roman"/>
                <w:color w:val="auto"/>
                <w:sz w:val="28"/>
                <w:szCs w:val="28"/>
                <w:lang w:eastAsia="zh-CN"/>
              </w:rPr>
              <w:t>项目编号</w:t>
            </w:r>
          </w:p>
        </w:tc>
        <w:tc>
          <w:tcPr>
            <w:tcW w:w="2986"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课程名称</w:t>
            </w:r>
          </w:p>
        </w:tc>
        <w:tc>
          <w:tcPr>
            <w:tcW w:w="1633" w:type="dxa"/>
            <w:vAlign w:val="center"/>
          </w:tcPr>
          <w:p>
            <w:pPr>
              <w:jc w:val="center"/>
              <w:rPr>
                <w:rFonts w:ascii="黑体" w:hAnsi="黑体" w:eastAsia="黑体"/>
                <w:color w:val="auto"/>
                <w:sz w:val="28"/>
                <w:szCs w:val="28"/>
              </w:rPr>
            </w:pPr>
            <w:r>
              <w:rPr>
                <w:rFonts w:hint="eastAsia" w:ascii="黑体" w:hAnsi="黑体" w:eastAsia="黑体"/>
                <w:color w:val="auto"/>
                <w:sz w:val="28"/>
                <w:szCs w:val="28"/>
              </w:rPr>
              <w:t>负责人</w:t>
            </w:r>
          </w:p>
        </w:tc>
        <w:tc>
          <w:tcPr>
            <w:tcW w:w="1600" w:type="dxa"/>
            <w:vAlign w:val="center"/>
          </w:tcPr>
          <w:p>
            <w:pPr>
              <w:jc w:val="center"/>
              <w:rPr>
                <w:rFonts w:hint="eastAsia" w:ascii="黑体" w:hAnsi="黑体" w:eastAsia="黑体"/>
                <w:color w:val="auto"/>
                <w:sz w:val="28"/>
                <w:szCs w:val="28"/>
                <w:lang w:eastAsia="zh-CN"/>
              </w:rPr>
            </w:pPr>
            <w:r>
              <w:rPr>
                <w:rFonts w:hint="eastAsia" w:ascii="黑体" w:hAnsi="黑体" w:eastAsia="黑体"/>
                <w:color w:val="auto"/>
                <w:sz w:val="28"/>
                <w:szCs w:val="28"/>
                <w:lang w:eastAsia="zh-CN"/>
              </w:rPr>
              <w:t>课题类别</w:t>
            </w:r>
          </w:p>
        </w:tc>
        <w:tc>
          <w:tcPr>
            <w:tcW w:w="2041" w:type="dxa"/>
            <w:vAlign w:val="center"/>
          </w:tcPr>
          <w:p>
            <w:pPr>
              <w:jc w:val="center"/>
              <w:rPr>
                <w:rFonts w:hint="eastAsia" w:ascii="黑体" w:hAnsi="黑体" w:eastAsia="黑体"/>
                <w:color w:val="auto"/>
                <w:sz w:val="28"/>
                <w:szCs w:val="28"/>
                <w:lang w:val="en-US" w:eastAsia="zh-CN"/>
              </w:rPr>
            </w:pPr>
            <w:r>
              <w:rPr>
                <w:rFonts w:hint="eastAsia" w:ascii="黑体" w:hAnsi="黑体" w:eastAsia="黑体"/>
                <w:color w:val="auto"/>
                <w:sz w:val="28"/>
                <w:szCs w:val="28"/>
              </w:rPr>
              <w:t>所属</w:t>
            </w:r>
            <w:r>
              <w:rPr>
                <w:rFonts w:hint="eastAsia" w:ascii="黑体" w:hAnsi="黑体" w:eastAsia="黑体"/>
                <w:color w:val="auto"/>
                <w:sz w:val="28"/>
                <w:szCs w:val="28"/>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NZYJG2022066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基于OBE理念的“一体两翼”课程思政教学模式研究--以方剂学课程为例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张卫华</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NZYJG2022067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中医院校MBBS留学生中医学概论课程体系优化及混合式学习生态链构建探究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宋莹莹</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NZYJG2022068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中西医临床专业建设的理论与实践研究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戚端、徐建云</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NZYJG2022069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基于思维导图的“读、背、默”联合CBL教学法在《伤寒论》教学中的作用与优势探索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冯慧</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NZYJG2022070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中西医结合临床课程的教学改革研究与实践——以《中西医结合儿科学》为例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宋宇尘</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NZYJG2022071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基于MOOC的混合教学实践研究——以《温病学》为例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赖明生</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NZYJG2022072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中医各家学说“以人为本”思政教育课程建设</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连雅君</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000000"/>
                <w:kern w:val="0"/>
                <w:sz w:val="18"/>
                <w:szCs w:val="18"/>
                <w:u w:val="none"/>
                <w:lang w:val="en-US" w:eastAsia="zh-CN" w:bidi="ar"/>
              </w:rPr>
              <w:t>NZYJG2022073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合作学习在内经教学过程中的应用研究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骆殊</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中医学院·中西医结合学院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NZYJG2022074</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基于中医全科医学人才培养探讨思政教学融入《全科医学概论》课程的改革与实践</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王沛</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NZYJG2022075</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名老中医视频病案在床边教学中的应用研究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郭立中</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NZYJG2022076</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中医肿瘤学课程思政建设与研究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彭海燕</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NZYJG2022077</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床边教学课程教学的改革与实践</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殷松江</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NZYJG2022078</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基于临床案例的“胸腔穿刺术”教学方法改革与实践</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董莹莹</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第一临床医学院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NZYJG2022079</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课程思政融入食品卫生与营养学专业的研究与实践</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宋志秀</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NZYJG2022080</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以点穴课学生模特为抓手构建早期针灸临床思维培养体系的教学策略研究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李媛</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NZYJG2022081</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《经络腧穴学》课程思政建设探索</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朱世鹏</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NZYJG2022082</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针灸推拿实验教学综合训练平台的构建与应用研究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赵欣华</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NZYJG2022083</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BOPPPS模型在外科临床营养学教学中的应用研究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周蓓</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针灸推拿学院·养生康复学院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优化培养模式，成就创新人才——中医药大学生科创能力的培养问题与对策</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王若宁</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面向中药学一流学科建设的《无机化学实验》课程思政创新教学研究与实践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马瑜璐</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课程思政教育融入生物制药中外合作办学项目人才培养体系的路径探索与实践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张芳</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混合模式的《临床药理学》一流课程探索与实践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马宏跃</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基于“产教协同-知行合一”的中药制药实践教学模式研究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李存玉</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NZYJG2022089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物理化学双语“两性一度”融合式多维立体建设思路探讨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徐飞</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基于产教融合的中药资源与开发专业实践教学培养创新体系研究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胡杨</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中外合作办学模式下《食品微生物学》实验教学的改革与创新</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吴薛明、冷雪娇</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PBL教学法在《生物药物分析》课程中的研究与应用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吴沁航</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《中药调剂学》实践教学研究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龙军</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基于教考分离的《无机化学》试题库的建设研究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欧春艳</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“医工融合”背景下食品类专业开展创新创业教育的研究与实践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薛峰</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药剂学课程思政建设与研究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毕肖林</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高校案例式、启发式、探究式等教学方法在药学专业体内药物分析和药物动力学课程建设中的研究与应用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吴亮</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《仪器分析》——原子吸收实验教学改革</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嵇晶</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NZYJG2022099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临床问题导向的中医临床各专业药理学相关课程教学方式探索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余黎</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孙化萍</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基于虚拟仿真教学模式的生物制药专业微生物学实验教学改革研究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袁天杰</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卓越医生为导向的OBE+BOPPPS模式《病理学》金课实践与探索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顾春艳、王子妤</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“案例教学+项目驱动”教学模式构建与实践——以药理学课程为例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樊璐</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中医药背景下免疫学课程思政探索与实践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张军峰</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新医科背景下临床医学专业生化与分子生物学课程创新教学模式研究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陈美娟、韩欣</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基于SPOC《医学心理学》混合教学模式的理论与实践研究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高玥</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人体寄生虫学课程思政的初步建设与实践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张伟伟</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“课程思政”融入基础医学实验教学体系的研究与探索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赵欢欢</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引入竞争机制的医学微生物学翻转课堂联合PBL 教学模式研究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董伟</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医学院·整合医学学院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NZYJG2022109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智慧智能国家级护理实验教学示范中心建设及管理模式的研究与实践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宋玉磊</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基于本科生科研创新能力培养的护理实验平台运行模式的探索与实践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王庆</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虚实结合的实践教学模式在《急救护理学》课程中的研究与应用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孙蓉</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“OBE”理念指导下助产学课程“线上线下、虚实结合”实训教学模式的构建</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康健</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护理专业学生叙事素养和能力发展轨迹探索——一项教育叙事研究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张姮</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以提高护生岗位胜任力为导向的《护理学基础*强化》课程教学模式改革研究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孙景贤</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基于项目驱动的医学生科研素养提升策略研究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潘娅岚</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基于项目式学习的《养老护理创新创业实践》课程教学改革对学生科研创新能力培养的影响研究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董玉静</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数智时代大学生数字素养提升路径的研究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夏浩志</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中医药院校本科生知识隐藏行为对创新能力的影响研究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张艺雄</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护理学院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NZYJG2022119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隐性知识转移视域下卓越中医人才培养质量提升研究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曾智</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人类卫生健康共同体视域下国际化中医药人才培养模式创新与实践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孙源源</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“双一流”建设背景下高校大学生核心科学素养评价与提升路径研究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张娇</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国家一流专业视域下药事管理专业评价现状与建设路径研究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姚雪芳</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融合数智与人文的中医药高校信息管理人才培养模式与实践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是沁</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公共管理类教师课程思政教学能力：支持要素与培育路径研究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沈秋欢</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大学生科研素养与创新能力培养路径研究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宋慧勇</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中医药大学教师职业倦怠对教学创新绩效的影响机制及对策研究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王希泉</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基于数学建模的中医院校创新能力培养研究与实践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杨文国</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新工科背景下软件工程类课程群课程思政教学改革与探索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胡云</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NZYJG2022129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基于费曼学习法的案例驱动综合设计性教学研究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张霞、周作建</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“智能+中医药”应用型人才实践能力培养模式研究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丁有伟、戴彩艳</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计算机基础分层教学改革实践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印志鸿、金玉琴</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《模式识别与计算机视觉》课程中以学习为中心的教学范式研究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李红岩</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案例教学法在公共物理类基础课程的应用研究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李雄</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面向医学生的Python课程教学模式探索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宋懿花</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《医用物理》“三位一体”教学模式的改革探索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徐仁力</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人工智能与信息技术学院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“时间银行”活动参与对养老服务专业大学生就业意向的影响——基于首个养老服务与管理学院的实证研究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吴越</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养老服务与管理学院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新文科教改背景下《社会学》课程在线资源建设研究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谢士钰</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养老服务与管理学院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叙事医学视域下《医学伦理学》课程思政建设与研究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马晶</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NZYJG2022139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红色文化融入高校思政课的“三堂联动”教学改革与实践——以南京中医药大学为例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毛俊</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NZYJG2022140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新时代中医药院校思政课高质量建设研究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宗刚</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NZYJG2022141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对南京大屠杀错误史观的批判性教学对策研究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陈紫竹</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马克思主义学院·医学人文学院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NZYJG2022142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“新医科+新文科”背景下中医药院校大学英语教学改革与实践研究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蒋辰雪</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王海波</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公共外语教学部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NZYJG2022143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基于项目式学习模式的长学制英语论文写作教学改革研究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叶莹</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钱敏娟</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公共外语教学部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NZYJG2022144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高校传统体育课程思政建设与创新研究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刘宏亮</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体育部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NZYJG2022145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基于中医药文化的茶文化教育校本特色教材建设研究与实践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陆跃</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中医药文献研究所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NZYJG2022146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应用 Mini-CEX 联合情境模拟教学在提高医学本科实习生心肺复苏临床能力的研究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隽晨霞、天天</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NZYJG2022147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AR技术在耳鼻喉科学临床教学的初步构建与应用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吴继勇、郭胜伟</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NZYJG2022148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基于“4C”教学法的中医院本科护理实习生临床综合能力培养模式的构建与实践研究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陈晨</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陈露</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NZYJG2022149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简化OSCE联合SBAR沟通考核模式对本科护理实习生临床综合能力的影响及分析</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刘萍</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NZYJG2022150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基于CIPP及柯氏模型在提高脾胃病科规培护士耳穴相关操作能力中的探析</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王若</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NZYJG2022151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基于体验式学习在提高消化科护生临床思维能力中的应用研究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吕品菊</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NZYJG2022152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构建以Mini-CEX与DOPS为工具的形成性评价体系在临床护理实践教学中的应用研究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高娟娟</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NZYJG2022153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基于DINA认知诊断模型的肾内科护生临床动态分层教学研究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周扣香</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NZYJG2022154</w:t>
            </w:r>
          </w:p>
        </w:tc>
        <w:tc>
          <w:tcPr>
            <w:tcW w:w="2986" w:type="dxa"/>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案例联合概念图教学法在骨伤科护理带教中的应用研究</w:t>
            </w:r>
          </w:p>
        </w:tc>
        <w:tc>
          <w:tcPr>
            <w:tcW w:w="1633"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练银霞</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NZYJG2022155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基于TOPCARES-CDIO理念下多模式床边教学体系对培养中医院护生核心能力的影响及应用研究—以普外科为例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王青</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NZYJG2022156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情景案例教学法在中医急诊临床教学中的应用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张高峰</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南京中医药大学常熟附属医院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NZYJG2022157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基于临床胜任力及工作表现评分的评价系统在外科临床教学中的应用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洪书剑</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NZYJG2022158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“CBL-PBL-TBL”三位一体教学模式在中医妇科学床教学中的应用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王旺</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NZYJG2022159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“急诊医学”床边教学教材建设研究与实践</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邵龙刚</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基于儿科疾病传变特点的CBL教学法在中医儿科学床边教学中的运用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曾智凤</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以临床应用为导向的针灸推拿人才培养：脑梗死中医康复的全景体验式学习</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李浩</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基于病案结构化格式改变的骨伤科床边教学实践研究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钱冬晨、朱保华</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南京中医药大学第二附属医院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基于临床诊疗指南改进中医类专业《内科学》教学的探索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宋德胤</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南京中医药大学附属南京中医院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基于叙事护理教学法干预护理本科生压力负荷与灾害护理能力的临床研究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洪艳燕</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南京中医药大学附属南京中医院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科研导师制在中药学人才培养中的路径研究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雷霞</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南京中医药大学无锡附属医院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形成性评价运用于自主学习在中医脑病科实习中的研究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邹全</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南京中医药大学无锡附属医院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基于微信平台的案例教学法结合迷你临床演练评估对肛肠科床边教学的实践与探索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顾尽晖</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南京中医药大学苏州附属医院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基于三维质量模型的中医医疗机构护理实习生教学质量评价体系构建</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黄文霞</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南京中医药大学苏州附属医院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NZYJG2022169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中医儿科临床教学中的名中医工作室师承教育结合模式探索研究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袁洋</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南京中医药大学盐城附属医院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教师教学能力、实践能力提升方式与途径研究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唐荣芳</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王艳萍</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南京中医药大学盐城附属医院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TCM-Mini-CEX 联合 DOPS 评价体系在提升中医临床实践能力的探索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翟萍萍</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南京中医药大学泰州附属医院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中医临床思维训练的途径和方法研究—以治未病科临床带教为例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王省</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南京中医药大学附属中西医结合医院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专科小组模式下导师制对护理本科生中医技术实践能力的影响</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魏金荣</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南京中医药大学扬州附属医院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教学医院教学工作考核体制、聘用及评价体系对师资水平影响的探索</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薛勇</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南京中医药大学江阴附属医院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基于RCF的多轨制教学模式在康复治疗学专业临床实习带教中的应用观察</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陈丽君</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南京中医药大学张家港附属医院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基于行为导向、MDT的多元化教学联合形成性评价提升床边教学质量的研究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陈蒋东、樊照娣</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南京中医药大学张家港附属医院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“PBL+CBL”教学法在中医临床专业影像实践教学模式的应用研究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周建国</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南京中医药大学连云港附属医院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NZYJG2022178</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Mini-CEX在针灸临床实践教学中的应用</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郭加磊</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南京中医药大学连云港附属医院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NZYJG2022179</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以学生为中心的导师制在中医外科教学查房中的优化应用研究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张栋梁</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南京中医药大学镇江附属医院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NZYJG2022180</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以目标为导向结合名师作导提升中医实习生中医临床思维能力的研究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何艺娟</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南京中医药大学太仓附属医院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NZYJG2022181</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基于“读经典-跟名师-上临床”模式探索中医全科专业学生中医思维能力的培养</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李鹤</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南京中医院大学淮安附属医院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NZYJG2022182</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基于流派学术思想与临床教学融合提升中医学生临证经典运用能力</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任晓琴</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南京中医药大学附属苏州市中西医结合医院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NZYJG2022183</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Style w:val="4"/>
                <w:lang w:val="en-US" w:eastAsia="zh-CN" w:bidi="ar"/>
              </w:rPr>
              <w:t xml:space="preserve">附属医院建设标准指标体系研究  </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周杨</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发展规划处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NZYJG2022184</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高等中医药院校课程思政建设与研究——以南京中医药大学为例</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金迪</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双一流建设处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NZYJG2022185</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基于协同创新平台的科教融合实践研究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罗占收</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科学技术处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NZYJG2022186</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基于学习性投入视角的中医学长学制教学质量评价实证研究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贾静、李莉</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28" w:type="dxa"/>
            <w:vAlign w:val="center"/>
          </w:tcPr>
          <w:p>
            <w:pPr>
              <w:keepNext w:val="0"/>
              <w:keepLines w:val="0"/>
              <w:widowControl/>
              <w:suppressLineNumbers w:val="0"/>
              <w:jc w:val="both"/>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00"/>
                <w:kern w:val="0"/>
                <w:sz w:val="18"/>
                <w:szCs w:val="18"/>
                <w:u w:val="none"/>
                <w:lang w:val="en-US" w:eastAsia="zh-CN" w:bidi="ar"/>
              </w:rPr>
              <w:t>NZYJG2022187</w:t>
            </w:r>
          </w:p>
        </w:tc>
        <w:tc>
          <w:tcPr>
            <w:tcW w:w="2986" w:type="dxa"/>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“双一流”背景下中外合作办学项目质量评价研究</w:t>
            </w:r>
          </w:p>
        </w:tc>
        <w:tc>
          <w:tcPr>
            <w:tcW w:w="1633"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路颖</w:t>
            </w:r>
          </w:p>
        </w:tc>
        <w:tc>
          <w:tcPr>
            <w:tcW w:w="1600" w:type="dxa"/>
            <w:vAlign w:val="center"/>
          </w:tcPr>
          <w:p>
            <w:pPr>
              <w:keepNext w:val="0"/>
              <w:keepLines w:val="0"/>
              <w:widowControl/>
              <w:suppressLineNumbers w:val="0"/>
              <w:jc w:val="center"/>
              <w:textAlignment w:val="center"/>
              <w:rPr>
                <w:rFonts w:hint="eastAsia"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一般项目</w:t>
            </w:r>
          </w:p>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（立项不资助）</w:t>
            </w:r>
          </w:p>
        </w:tc>
        <w:tc>
          <w:tcPr>
            <w:tcW w:w="2041"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教务处</w:t>
            </w:r>
          </w:p>
        </w:tc>
      </w:tr>
    </w:tbl>
    <w:p>
      <w:pPr>
        <w:rPr>
          <w:rFonts w:hint="default" w:ascii="Arial" w:hAnsi="Arial" w:eastAsia="宋体" w:cs="Arial"/>
          <w:i w:val="0"/>
          <w:iCs w:val="0"/>
          <w:caps w:val="0"/>
          <w:color w:val="333333"/>
          <w:spacing w:val="0"/>
          <w:sz w:val="25"/>
          <w:szCs w:val="25"/>
          <w:shd w:val="clear" w:fill="FFFFFF"/>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xNWZjNDMyNWM0NGVlY2U0MTU0ZDdkZjc3MjcyZDIifQ=="/>
  </w:docVars>
  <w:rsids>
    <w:rsidRoot w:val="00000000"/>
    <w:rsid w:val="674E5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2022-10-17T09:52:41Z</dcterms:created>
  <dc:creator>Administrator</dc:creator>
  <cp:lastModifiedBy>贾静</cp:lastModifiedBy>
  <dcterms:modified xsi:type="dcterms:W3CDTF">2022-10-17T09:53:32Z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EAF67039C73349CABC09B12D3314B6DE</vt:lpwstr>
  </property>
</Properties>
</file>