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jc w:val="center"/>
      </w:pPr>
      <w:bookmarkStart w:id="0" w:name="_Toc22078"/>
      <w:r>
        <w:rPr>
          <w:rFonts w:hint="eastAsia" w:ascii="宋体" w:hAnsi="宋体"/>
          <w:b/>
          <w:bCs/>
          <w:sz w:val="52"/>
          <w:szCs w:val="52"/>
          <w:lang w:val="en-US" w:eastAsia="zh-CN"/>
        </w:rPr>
        <w:t>个性化排考</w:t>
      </w:r>
      <w:r>
        <w:rPr>
          <w:rFonts w:hint="eastAsia" w:ascii="宋体" w:hAnsi="宋体" w:eastAsia="宋体"/>
          <w:b/>
          <w:bCs/>
          <w:sz w:val="52"/>
          <w:szCs w:val="52"/>
          <w:lang w:val="en-US" w:eastAsia="zh-CN"/>
        </w:rPr>
        <w:t>操作手册</w:t>
      </w:r>
    </w:p>
    <w:p>
      <w:pPr>
        <w:pStyle w:val="3"/>
      </w:pPr>
      <w:r>
        <w:rPr>
          <w:rFonts w:hint="eastAsia"/>
        </w:rPr>
        <w:t>系统登录</w:t>
      </w:r>
      <w:bookmarkEnd w:id="0"/>
    </w:p>
    <w:p>
      <w:pPr>
        <w:ind w:firstLine="440"/>
        <w:rPr>
          <w:color w:val="FF0000"/>
        </w:rPr>
      </w:pPr>
      <w:r>
        <w:rPr>
          <w:rFonts w:hint="eastAsia"/>
          <w:color w:val="FF0000"/>
        </w:rPr>
        <w:t>建议使用谷歌C</w:t>
      </w:r>
      <w:r>
        <w:rPr>
          <w:color w:val="FF0000"/>
        </w:rPr>
        <w:t>hrome</w:t>
      </w:r>
      <w:r>
        <w:rPr>
          <w:rFonts w:hint="eastAsia"/>
          <w:color w:val="FF0000"/>
        </w:rPr>
        <w:t>浏览器登录系统</w:t>
      </w:r>
    </w:p>
    <w:p>
      <w:pPr>
        <w:ind w:firstLine="440"/>
        <w:rPr>
          <w:rFonts w:hint="eastAsia" w:eastAsia="等线"/>
          <w:lang w:eastAsia="zh-CN"/>
        </w:rPr>
      </w:pPr>
      <w:r>
        <w:t>在电脑端打开谷歌浏览器，访问</w:t>
      </w:r>
      <w:r>
        <w:fldChar w:fldCharType="begin"/>
      </w:r>
      <w:r>
        <w:instrText xml:space="preserve"> HYPERLINK "http://jwxt.aqnu.edu.cn/" </w:instrText>
      </w:r>
      <w:r>
        <w:fldChar w:fldCharType="separate"/>
      </w:r>
      <w:r>
        <w:rPr>
          <w:rStyle w:val="8"/>
          <w:rFonts w:hint="eastAsia"/>
        </w:rPr>
        <w:t>http://jwgl.njucm.edu.cn</w:t>
      </w:r>
      <w:r>
        <w:rPr>
          <w:rStyle w:val="8"/>
        </w:rPr>
        <w:t>/</w:t>
      </w:r>
      <w:r>
        <w:rPr>
          <w:rStyle w:val="8"/>
        </w:rPr>
        <w:fldChar w:fldCharType="end"/>
      </w:r>
      <w:r>
        <w:t>，</w:t>
      </w:r>
      <w:r>
        <w:rPr>
          <w:rFonts w:hint="eastAsia"/>
        </w:rPr>
        <w:t>点击【</w:t>
      </w:r>
      <w:r>
        <w:rPr>
          <w:rFonts w:hint="eastAsia"/>
          <w:lang w:val="en-US" w:eastAsia="zh-CN"/>
        </w:rPr>
        <w:t>教师/学生</w:t>
      </w:r>
      <w:r>
        <w:rPr>
          <w:rFonts w:hint="eastAsia"/>
        </w:rPr>
        <w:t>】入口切换登录角色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推荐使用</w:t>
      </w:r>
      <w:r>
        <w:rPr>
          <w:rFonts w:hint="eastAsia"/>
          <w:color w:val="FF0000"/>
          <w:lang w:val="en-US" w:eastAsia="zh-CN"/>
        </w:rPr>
        <w:t>统一身份认证登录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教务账号密码登录：</w:t>
      </w:r>
      <w:r>
        <w:t>输入账号密码（账号为</w:t>
      </w:r>
      <w:r>
        <w:rPr>
          <w:rFonts w:hint="eastAsia"/>
          <w:lang w:val="en-US" w:eastAsia="zh-CN"/>
        </w:rPr>
        <w:t>工</w:t>
      </w:r>
      <w:r>
        <w:t>号，密码</w:t>
      </w:r>
      <w:r>
        <w:rPr>
          <w:rFonts w:hint="eastAsia"/>
          <w:lang w:val="en-US" w:eastAsia="zh-CN"/>
        </w:rPr>
        <w:t>8位为Nzy+身份证后4位+*，如Nzy1234*</w:t>
      </w:r>
      <w:r>
        <w:t>）即可登录</w:t>
      </w:r>
      <w:r>
        <w:rPr>
          <w:rFonts w:hint="eastAsia"/>
        </w:rPr>
        <w:t>。</w:t>
      </w:r>
      <w:r>
        <w:rPr>
          <w:rFonts w:hint="eastAsia"/>
          <w:lang w:val="en-US" w:eastAsia="zh-CN"/>
        </w:rPr>
        <w:t>建议初次登陆后点击右上角头像到账号设置修改密码。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统一身份认证登录：点击“统一身份认证登录”，跳转到南京中医药大学统一身份认证页面，输入统一身份认证账号密码登陆后即可跳转登录至教务系统。</w:t>
      </w:r>
    </w:p>
    <w:p>
      <w:pPr>
        <w:numPr>
          <w:ilvl w:val="0"/>
          <w:numId w:val="0"/>
        </w:numPr>
        <w:ind w:left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如无法登录请及时联系教务处排查账号信息。</w:t>
      </w:r>
    </w:p>
    <w:p>
      <w:pPr>
        <w:ind w:firstLine="0" w:firstLineChars="0"/>
      </w:pPr>
      <w:r>
        <w:drawing>
          <wp:inline distT="0" distB="0" distL="114300" distR="114300">
            <wp:extent cx="5725160" cy="2619375"/>
            <wp:effectExtent l="0" t="0" r="8890" b="952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drawing>
          <wp:inline distT="0" distB="0" distL="114300" distR="114300">
            <wp:extent cx="5725160" cy="2619375"/>
            <wp:effectExtent l="0" t="0" r="8890" b="952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t xml:space="preserve"> </w:t>
      </w:r>
    </w:p>
    <w:p>
      <w:pPr>
        <w:ind w:firstLine="0" w:firstLineChars="0"/>
      </w:pPr>
    </w:p>
    <w:p>
      <w:pPr>
        <w:pStyle w:val="3"/>
      </w:pPr>
      <w:r>
        <w:rPr>
          <w:rFonts w:hint="eastAsia"/>
          <w:lang w:val="en-US" w:eastAsia="zh-CN"/>
        </w:rPr>
        <w:t>个性化排考申请</w:t>
      </w:r>
    </w:p>
    <w:p>
      <w:pPr>
        <w:numPr>
          <w:ilvl w:val="0"/>
          <w:numId w:val="3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点击“菜单”找到“个性化排考申请”菜单或通过“菜单搜索”进入“个性化排考申请”页面，默认显示当前学期</w:t>
      </w:r>
    </w:p>
    <w:p>
      <w:pPr>
        <w:ind w:firstLine="0" w:firstLineChars="0"/>
      </w:pPr>
      <w:r>
        <w:drawing>
          <wp:inline distT="0" distB="0" distL="114300" distR="114300">
            <wp:extent cx="5725160" cy="2623820"/>
            <wp:effectExtent l="0" t="0" r="8890" b="5080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hint="eastAsia"/>
          <w:lang w:eastAsia="zh-CN"/>
        </w:rPr>
      </w:pPr>
      <w:r>
        <w:drawing>
          <wp:inline distT="0" distB="0" distL="114300" distR="114300">
            <wp:extent cx="5725160" cy="2619375"/>
            <wp:effectExtent l="0" t="0" r="8890" b="9525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425" w:leftChars="0" w:hanging="425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申请考试：点击申请考试按钮，页面显示对应为主讲教师且已发布的教学任务；选择对应的任务点击“申请考试”进入下一步申请页面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5160" cy="2611120"/>
            <wp:effectExtent l="0" t="0" r="8890" b="17780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420" w:leftChars="0" w:hanging="420" w:firstLineChars="0"/>
        <w:rPr>
          <w:rFonts w:hint="eastAsia" w:eastAsia="微软雅黑"/>
          <w:lang w:val="en-US" w:eastAsia="zh-CN"/>
        </w:rPr>
      </w:pPr>
      <w:r>
        <w:rPr>
          <w:rFonts w:hint="eastAsia"/>
          <w:lang w:val="en-US" w:eastAsia="zh-CN"/>
        </w:rPr>
        <w:t>(1)基础设置：填写对应的内容，试卷安排一般线下安排，是否使用试卷选择“否”即可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eastAsia="微软雅黑"/>
          <w:lang w:val="en-US" w:eastAsia="zh-CN"/>
        </w:rPr>
      </w:pP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5160" cy="2606675"/>
            <wp:effectExtent l="0" t="0" r="8890" b="3175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(2)时间设置：设置对应的考试时间，自定义具体时间；如设置时间与学生上课时间冲突，系统弹窗提示冲突信息，如不需要调整冲突时间，可直接点击继续到下一页面。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5160" cy="2602865"/>
            <wp:effectExtent l="0" t="0" r="8890" b="6985"/>
            <wp:docPr id="2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725160" cy="2644775"/>
            <wp:effectExtent l="0" t="0" r="8890" b="3175"/>
            <wp:docPr id="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420" w:leftChars="0" w:hanging="420" w:firstLineChars="0"/>
      </w:pPr>
      <w:r>
        <w:rPr>
          <w:rFonts w:hint="eastAsia"/>
          <w:lang w:val="en-US" w:eastAsia="zh-CN"/>
        </w:rPr>
        <w:t>(3)考场设置：点击查找教室选择对应的考场，如选择多个教室，需再次选择“分配人数方式”；查找教室显示的容量为考试容量，小于实际座位数。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5160" cy="2611120"/>
            <wp:effectExtent l="0" t="0" r="8890" b="17780"/>
            <wp:docPr id="2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420" w:leftChars="0" w:hanging="420" w:firstLineChars="0"/>
      </w:pPr>
      <w:r>
        <w:rPr>
          <w:rFonts w:hint="eastAsia"/>
          <w:lang w:val="en-US" w:eastAsia="zh-CN"/>
        </w:rPr>
        <w:t>(4)监考设置：点击“设置”按钮进入监考设置页面，可按照部门或者工号查找教师并设置监考主考和副主考。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5160" cy="2593975"/>
            <wp:effectExtent l="0" t="0" r="8890" b="15875"/>
            <wp:docPr id="2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420" w:leftChars="0" w:hanging="420" w:firstLineChars="0"/>
      </w:pPr>
      <w:r>
        <w:rPr>
          <w:rFonts w:hint="eastAsia"/>
          <w:lang w:val="en-US" w:eastAsia="zh-CN"/>
        </w:rPr>
        <w:t>(5)巡考设置：暂不需要设置，可直接点击“保存”。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5160" cy="2602865"/>
            <wp:effectExtent l="0" t="0" r="8890" b="6985"/>
            <wp:docPr id="3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425" w:leftChars="0" w:hanging="425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保存/提交：</w:t>
      </w:r>
    </w:p>
    <w:p>
      <w:pPr>
        <w:numPr>
          <w:ilvl w:val="0"/>
          <w:numId w:val="5"/>
        </w:numPr>
        <w:ind w:left="420" w:leftChars="0" w:hanging="420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（1）以上排考安排设置完成后可点击“保存”按钮保存该条申请记录，此时状态为“未提交”，仍可进行修改；如点击“提交”按钮，直接保存申请并提交，提交状态为“已提交”，不可再修改。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5160" cy="2593975"/>
            <wp:effectExtent l="0" t="0" r="8890" b="15875"/>
            <wp:docPr id="3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420" w:leftChars="0" w:hanging="420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（2）个性化排考申请页面可查看审核状态，如审核状态为未提交，选择对应申请点击“提交”按钮提交申请。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5160" cy="2614930"/>
            <wp:effectExtent l="0" t="0" r="8890" b="13970"/>
            <wp:docPr id="3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425" w:leftChars="0" w:hanging="425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审核结果查询：个性化排考申请页面查看申请的审核状态，如审核状态为通过，表示该申请流程结束。</w:t>
      </w:r>
      <w:bookmarkStart w:id="1" w:name="_GoBack"/>
      <w:bookmarkEnd w:id="1"/>
    </w:p>
    <w:p>
      <w:pPr>
        <w:numPr>
          <w:numId w:val="0"/>
        </w:numPr>
        <w:ind w:leftChars="0"/>
        <w:rPr>
          <w:rFonts w:hint="default" w:eastAsia="微软雅黑"/>
          <w:lang w:val="en-US" w:eastAsia="zh-CN"/>
        </w:rPr>
      </w:pPr>
      <w:r>
        <w:drawing>
          <wp:inline distT="0" distB="0" distL="114300" distR="114300">
            <wp:extent cx="5725160" cy="2619375"/>
            <wp:effectExtent l="0" t="0" r="889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0" w:h="16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CBB32C"/>
    <w:multiLevelType w:val="singleLevel"/>
    <w:tmpl w:val="8FCBB32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A1E1DE88"/>
    <w:multiLevelType w:val="multilevel"/>
    <w:tmpl w:val="A1E1DE88"/>
    <w:lvl w:ilvl="0" w:tentative="0">
      <w:start w:val="1"/>
      <w:numFmt w:val="chineseCounting"/>
      <w:pStyle w:val="2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2">
    <w:nsid w:val="FE249398"/>
    <w:multiLevelType w:val="singleLevel"/>
    <w:tmpl w:val="FE24939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1045AF6F"/>
    <w:multiLevelType w:val="singleLevel"/>
    <w:tmpl w:val="1045AF6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5744CE1D"/>
    <w:multiLevelType w:val="singleLevel"/>
    <w:tmpl w:val="5744CE1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259AD"/>
    <w:rsid w:val="04FE6CB9"/>
    <w:rsid w:val="09B66C95"/>
    <w:rsid w:val="0AA9777F"/>
    <w:rsid w:val="1EAA3E92"/>
    <w:rsid w:val="280C09C9"/>
    <w:rsid w:val="2AFF6481"/>
    <w:rsid w:val="2C01675C"/>
    <w:rsid w:val="2F4F20D3"/>
    <w:rsid w:val="38830D10"/>
    <w:rsid w:val="427D49D6"/>
    <w:rsid w:val="49E26DE7"/>
    <w:rsid w:val="4A0A1EDD"/>
    <w:rsid w:val="4CF01275"/>
    <w:rsid w:val="5A0A1F25"/>
    <w:rsid w:val="5F07226A"/>
    <w:rsid w:val="691259AD"/>
    <w:rsid w:val="6FE11FDB"/>
    <w:rsid w:val="70121CFC"/>
    <w:rsid w:val="72250224"/>
    <w:rsid w:val="7762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3" w:firstLineChars="200"/>
      <w:jc w:val="both"/>
    </w:pPr>
    <w:rPr>
      <w:rFonts w:ascii="微软雅黑" w:hAnsi="微软雅黑" w:eastAsia="微软雅黑" w:cstheme="minorBidi"/>
      <w:color w:val="595959" w:themeColor="text1" w:themeTint="A6"/>
      <w:kern w:val="2"/>
      <w:sz w:val="24"/>
      <w:szCs w:val="22"/>
      <w:lang w:val="en-US" w:eastAsia="zh-CN" w:bidi="ar-SA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360" w:lineRule="auto"/>
      <w:ind w:left="432" w:hanging="432" w:firstLineChars="0"/>
      <w:outlineLvl w:val="0"/>
    </w:pPr>
    <w:rPr>
      <w:rFonts w:ascii="Calibri" w:hAnsi="Calibri" w:eastAsia="宋体" w:cs="黑体"/>
      <w:b/>
      <w:color w:val="0070C0"/>
      <w:kern w:val="44"/>
      <w:sz w:val="44"/>
      <w:lang w:eastAsia="en-US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hd w:val="clear" w:color="auto" w:fill="F1F1F1"/>
      <w:spacing w:before="260" w:after="160" w:line="240" w:lineRule="auto"/>
      <w:ind w:left="575" w:hanging="575" w:firstLineChars="0"/>
      <w:outlineLvl w:val="1"/>
    </w:pPr>
    <w:rPr>
      <w:rFonts w:ascii="Calibri Light" w:hAnsi="Calibri Light" w:eastAsia="宋体" w:cs="Times New Roman"/>
      <w:b/>
      <w:bCs/>
      <w:color w:val="2E75B5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unhideWhenUsed/>
    <w:qFormat/>
    <w:uiPriority w:val="99"/>
    <w:rPr>
      <w:color w:val="0563C1"/>
      <w:u w:val="single"/>
    </w:rPr>
  </w:style>
  <w:style w:type="paragraph" w:customStyle="1" w:styleId="9">
    <w:name w:val="TOC 标题2"/>
    <w:basedOn w:val="2"/>
    <w:next w:val="1"/>
    <w:unhideWhenUsed/>
    <w:qFormat/>
    <w:uiPriority w:val="39"/>
    <w:pPr>
      <w:keepNext/>
      <w:keepLines/>
      <w:numPr>
        <w:ilvl w:val="0"/>
        <w:numId w:val="0"/>
      </w:numPr>
      <w:spacing w:before="240" w:line="259" w:lineRule="auto"/>
      <w:outlineLvl w:val="9"/>
    </w:pPr>
    <w:rPr>
      <w:rFonts w:ascii="Cambria" w:hAnsi="Cambria" w:eastAsia="宋体" w:cs="Times New Roman"/>
      <w:b w:val="0"/>
      <w:color w:val="366091"/>
      <w:sz w:val="32"/>
      <w:szCs w:val="3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758</Words>
  <Characters>808</Characters>
  <Lines>0</Lines>
  <Paragraphs>0</Paragraphs>
  <TotalTime>15</TotalTime>
  <ScaleCrop>false</ScaleCrop>
  <LinksUpToDate>false</LinksUpToDate>
  <CharactersWithSpaces>809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2022-03-16T07:58:00Z</dcterms:created>
  <dc:creator>船到桥头自然沉</dc:creator>
  <cp:lastModifiedBy>Leo</cp:lastModifiedBy>
  <dcterms:modified xsi:type="dcterms:W3CDTF">2022-03-29T01:47:07Z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E35581BE7B4E485CA6C25F200DC12CDD</vt:lpwstr>
  </property>
</Properties>
</file>