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p>
    <w:p>
      <w:pPr>
        <w:jc w:val="center"/>
        <w:rPr>
          <w:rFonts w:hint="eastAsia" w:ascii="仿宋" w:hAnsi="仿宋" w:eastAsia="仿宋" w:cs="仿宋"/>
          <w:b/>
          <w:sz w:val="36"/>
          <w:szCs w:val="36"/>
        </w:rPr>
      </w:pPr>
    </w:p>
    <w:p>
      <w:pPr>
        <w:jc w:val="center"/>
        <w:rPr>
          <w:rFonts w:hint="eastAsia" w:ascii="仿宋" w:hAnsi="仿宋" w:eastAsia="仿宋" w:cs="仿宋"/>
          <w:b/>
          <w:sz w:val="36"/>
          <w:szCs w:val="36"/>
        </w:rPr>
      </w:pPr>
    </w:p>
    <w:p>
      <w:pPr>
        <w:jc w:val="center"/>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eastAsia="zh-CN"/>
        </w:rPr>
        <w:t>教字〔20</w:t>
      </w:r>
      <w:r>
        <w:rPr>
          <w:rFonts w:hint="eastAsia" w:ascii="仿宋" w:hAnsi="仿宋" w:eastAsia="仿宋" w:cs="仿宋"/>
          <w:b w:val="0"/>
          <w:bCs/>
          <w:sz w:val="28"/>
          <w:szCs w:val="28"/>
          <w:lang w:val="en-US" w:eastAsia="zh-CN"/>
        </w:rPr>
        <w:t>24</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18号</w:t>
      </w:r>
    </w:p>
    <w:p>
      <w:pPr>
        <w:jc w:val="both"/>
        <w:rPr>
          <w:rFonts w:hint="eastAsia" w:ascii="仿宋" w:hAnsi="仿宋" w:eastAsia="仿宋" w:cs="仿宋"/>
          <w:b/>
          <w:sz w:val="36"/>
          <w:szCs w:val="36"/>
        </w:rPr>
      </w:pPr>
    </w:p>
    <w:p>
      <w:pPr>
        <w:jc w:val="center"/>
        <w:rPr>
          <w:rFonts w:hint="eastAsia" w:ascii="仿宋" w:hAnsi="仿宋" w:eastAsia="仿宋" w:cs="仿宋"/>
          <w:b/>
          <w:sz w:val="36"/>
          <w:szCs w:val="36"/>
        </w:rPr>
      </w:pPr>
      <w:r>
        <w:rPr>
          <w:rFonts w:hint="eastAsia" w:ascii="仿宋" w:hAnsi="仿宋" w:eastAsia="仿宋" w:cs="仿宋"/>
          <w:b/>
          <w:sz w:val="36"/>
          <w:szCs w:val="36"/>
        </w:rPr>
        <w:t>关于</w:t>
      </w:r>
      <w:r>
        <w:rPr>
          <w:rFonts w:hint="eastAsia" w:ascii="仿宋" w:hAnsi="仿宋" w:eastAsia="仿宋" w:cs="仿宋"/>
          <w:b/>
          <w:sz w:val="36"/>
          <w:szCs w:val="36"/>
          <w:lang w:eastAsia="zh-CN"/>
        </w:rPr>
        <w:t>做好</w:t>
      </w:r>
      <w:r>
        <w:rPr>
          <w:rFonts w:hint="default" w:ascii="仿宋" w:hAnsi="仿宋" w:eastAsia="仿宋" w:cs="仿宋"/>
          <w:b/>
          <w:sz w:val="36"/>
          <w:szCs w:val="36"/>
          <w:lang w:val="en-US" w:eastAsia="zh-CN"/>
        </w:rPr>
        <w:t>202</w:t>
      </w:r>
      <w:r>
        <w:rPr>
          <w:rFonts w:hint="eastAsia" w:ascii="仿宋" w:hAnsi="仿宋" w:eastAsia="仿宋" w:cs="仿宋"/>
          <w:b/>
          <w:sz w:val="36"/>
          <w:szCs w:val="36"/>
          <w:lang w:val="en-US" w:eastAsia="zh-CN"/>
        </w:rPr>
        <w:t>4</w:t>
      </w:r>
      <w:r>
        <w:rPr>
          <w:rFonts w:hint="default" w:ascii="仿宋" w:hAnsi="仿宋" w:eastAsia="仿宋" w:cs="仿宋"/>
          <w:b/>
          <w:sz w:val="36"/>
          <w:szCs w:val="36"/>
          <w:lang w:val="en-US" w:eastAsia="zh-CN"/>
        </w:rPr>
        <w:t>年</w:t>
      </w:r>
      <w:r>
        <w:rPr>
          <w:rFonts w:hint="eastAsia" w:ascii="仿宋" w:hAnsi="仿宋" w:eastAsia="仿宋" w:cs="仿宋"/>
          <w:b/>
          <w:sz w:val="36"/>
          <w:szCs w:val="36"/>
        </w:rPr>
        <w:t>“五一”节前</w:t>
      </w:r>
    </w:p>
    <w:p>
      <w:pPr>
        <w:jc w:val="center"/>
        <w:rPr>
          <w:rFonts w:hint="eastAsia" w:ascii="仿宋" w:hAnsi="仿宋" w:eastAsia="仿宋" w:cs="仿宋"/>
          <w:b/>
          <w:sz w:val="36"/>
          <w:szCs w:val="36"/>
        </w:rPr>
      </w:pPr>
      <w:r>
        <w:rPr>
          <w:rFonts w:hint="eastAsia" w:ascii="仿宋" w:hAnsi="仿宋" w:eastAsia="仿宋" w:cs="仿宋"/>
          <w:b/>
          <w:sz w:val="36"/>
          <w:szCs w:val="36"/>
          <w:lang w:val="en-US" w:eastAsia="zh-CN"/>
        </w:rPr>
        <w:t>教学实验室</w:t>
      </w:r>
      <w:r>
        <w:rPr>
          <w:rFonts w:hint="eastAsia" w:ascii="仿宋" w:hAnsi="仿宋" w:eastAsia="仿宋" w:cs="仿宋"/>
          <w:b/>
          <w:sz w:val="36"/>
          <w:szCs w:val="36"/>
        </w:rPr>
        <w:t>安全检查的通知</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8"/>
          <w:szCs w:val="28"/>
          <w:lang w:val="en-US" w:eastAsia="zh-CN"/>
        </w:rPr>
      </w:pPr>
    </w:p>
    <w:p>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各学院：</w:t>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根据学校《关于开展“五一”劳动节前安全检查的通知》要求，为加强管理，杜绝各类安全隐患，坚决防范和遏制安全责任事故发生，请学院妥善做好以下工作：</w:t>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1.请各学院在节前对所有教学实验室组织一次全面自查工作，重点关注实验危化品、特种设备及水电燃气管路等情况，具体检查内容可参照《高等学校实验室安全检查项目表简表》（附表）。</w:t>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2.假期如有教学实验室开放活动或实验室改造施工，请务必加强安全管理，确保有专人负责，责任落实到人。</w:t>
      </w:r>
    </w:p>
    <w:p>
      <w:pPr>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附表：高等学校实验室安全检查项目表简表</w:t>
      </w:r>
    </w:p>
    <w:p>
      <w:pPr>
        <w:jc w:val="left"/>
        <w:rPr>
          <w:rFonts w:hint="eastAsia" w:ascii="仿宋" w:hAnsi="仿宋" w:eastAsia="仿宋" w:cs="仿宋"/>
          <w:sz w:val="32"/>
          <w:szCs w:val="32"/>
          <w:lang w:val="en-US" w:eastAsia="zh-CN"/>
        </w:rPr>
      </w:pPr>
    </w:p>
    <w:p>
      <w:pPr>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南京中医药大学教务处</w:t>
      </w:r>
    </w:p>
    <w:p>
      <w:pPr>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2024年4月27日</w:t>
      </w:r>
    </w:p>
    <w:p>
      <w:pPr>
        <w:keepNext w:val="0"/>
        <w:keepLines w:val="0"/>
        <w:widowControl/>
        <w:numPr>
          <w:ilvl w:val="0"/>
          <w:numId w:val="0"/>
        </w:numPr>
        <w:suppressLineNumbers w:val="0"/>
        <w:jc w:val="both"/>
        <w:rPr>
          <w:rFonts w:hint="eastAsia" w:ascii="宋体" w:hAnsi="宋体" w:eastAsia="宋体" w:cs="宋体"/>
          <w:sz w:val="28"/>
          <w:szCs w:val="28"/>
          <w:lang w:val="en-US" w:eastAsia="zh-CN"/>
        </w:rPr>
      </w:pPr>
      <w:r>
        <w:rPr>
          <w:rFonts w:hint="eastAsia" w:ascii="仿宋" w:hAnsi="仿宋" w:eastAsia="仿宋" w:cs="仿宋"/>
          <w:sz w:val="32"/>
          <w:szCs w:val="32"/>
          <w:lang w:val="en-US" w:eastAsia="zh-CN"/>
        </w:rPr>
        <w:t xml:space="preserve"> </w:t>
      </w:r>
      <w:r>
        <w:rPr>
          <w:rFonts w:hint="eastAsia" w:ascii="宋体" w:hAnsi="宋体" w:eastAsia="宋体" w:cs="宋体"/>
          <w:sz w:val="28"/>
          <w:szCs w:val="28"/>
          <w:lang w:val="en-US" w:eastAsia="zh-CN"/>
        </w:rPr>
        <w:t xml:space="preserve">附表：         </w:t>
      </w:r>
    </w:p>
    <w:p>
      <w:pPr>
        <w:keepNext w:val="0"/>
        <w:keepLines w:val="0"/>
        <w:widowControl/>
        <w:numPr>
          <w:ilvl w:val="0"/>
          <w:numId w:val="0"/>
        </w:numPr>
        <w:suppressLineNumbers w:val="0"/>
        <w:jc w:val="center"/>
        <w:rPr>
          <w:b/>
          <w:sz w:val="28"/>
          <w:szCs w:val="30"/>
        </w:rPr>
      </w:pPr>
      <w:bookmarkStart w:id="0" w:name="_GoBack"/>
      <w:bookmarkEnd w:id="0"/>
      <w:r>
        <w:rPr>
          <w:rFonts w:hint="eastAsia" w:eastAsia="方正小标宋简体"/>
          <w:b w:val="0"/>
          <w:bCs w:val="0"/>
          <w:sz w:val="28"/>
          <w:szCs w:val="28"/>
        </w:rPr>
        <w:t>高等学校实验室安全检查项目表简表</w:t>
      </w:r>
    </w:p>
    <w:tbl>
      <w:tblPr>
        <w:tblStyle w:val="4"/>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trPr>
        <w:tc>
          <w:tcPr>
            <w:tcW w:w="828" w:type="dxa"/>
            <w:noWrap w:val="0"/>
            <w:vAlign w:val="center"/>
          </w:tcPr>
          <w:p>
            <w:pPr>
              <w:spacing w:line="240" w:lineRule="exact"/>
              <w:jc w:val="center"/>
              <w:rPr>
                <w:rFonts w:eastAsia="黑体"/>
                <w:b/>
                <w:bCs/>
                <w:kern w:val="0"/>
                <w:szCs w:val="21"/>
              </w:rPr>
            </w:pPr>
            <w:r>
              <w:rPr>
                <w:rFonts w:eastAsia="黑体"/>
                <w:b/>
                <w:bCs/>
                <w:kern w:val="0"/>
                <w:szCs w:val="21"/>
              </w:rPr>
              <w:t>序号</w:t>
            </w:r>
          </w:p>
        </w:tc>
        <w:tc>
          <w:tcPr>
            <w:tcW w:w="5603" w:type="dxa"/>
            <w:noWrap w:val="0"/>
            <w:vAlign w:val="center"/>
          </w:tcPr>
          <w:p>
            <w:pPr>
              <w:spacing w:line="240" w:lineRule="exact"/>
              <w:jc w:val="center"/>
              <w:rPr>
                <w:rFonts w:eastAsia="黑体"/>
                <w:b/>
                <w:bCs/>
                <w:kern w:val="0"/>
                <w:szCs w:val="21"/>
              </w:rPr>
            </w:pPr>
            <w:r>
              <w:rPr>
                <w:rFonts w:eastAsia="黑体"/>
                <w:b/>
                <w:bCs/>
                <w:kern w:val="0"/>
                <w:szCs w:val="21"/>
              </w:rPr>
              <w:t>检查项目</w:t>
            </w:r>
          </w:p>
        </w:tc>
        <w:tc>
          <w:tcPr>
            <w:tcW w:w="2519" w:type="dxa"/>
            <w:tcBorders/>
            <w:noWrap w:val="0"/>
            <w:vAlign w:val="center"/>
          </w:tcPr>
          <w:p>
            <w:pPr>
              <w:widowControl/>
              <w:spacing w:line="240" w:lineRule="exact"/>
              <w:jc w:val="center"/>
              <w:rPr>
                <w:rFonts w:hint="eastAsia" w:eastAsia="黑体"/>
                <w:b/>
                <w:bCs/>
                <w:kern w:val="0"/>
                <w:szCs w:val="21"/>
                <w:lang w:eastAsia="zh-CN"/>
              </w:rPr>
            </w:pPr>
            <w:r>
              <w:rPr>
                <w:rFonts w:eastAsia="黑体"/>
                <w:b/>
                <w:bCs/>
                <w:kern w:val="0"/>
                <w:szCs w:val="21"/>
              </w:rPr>
              <w:t>检查</w:t>
            </w:r>
            <w:r>
              <w:rPr>
                <w:rFonts w:hint="eastAsia" w:eastAsia="黑体"/>
                <w:b/>
                <w:bCs/>
                <w:kern w:val="0"/>
                <w:szCs w:val="21"/>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top"/>
          </w:tcPr>
          <w:p>
            <w:pPr>
              <w:jc w:val="center"/>
            </w:pPr>
            <w:r>
              <w:t>1</w:t>
            </w:r>
          </w:p>
        </w:tc>
        <w:tc>
          <w:tcPr>
            <w:tcW w:w="5603" w:type="dxa"/>
            <w:noWrap w:val="0"/>
            <w:vAlign w:val="center"/>
          </w:tcPr>
          <w:p>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noWrap w:val="0"/>
            <w:vAlign w:val="top"/>
          </w:tcPr>
          <w:p>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pPr>
              <w:jc w:val="center"/>
            </w:pPr>
            <w:r>
              <w:t>2</w:t>
            </w:r>
          </w:p>
        </w:tc>
        <w:tc>
          <w:tcPr>
            <w:tcW w:w="5603" w:type="dxa"/>
            <w:noWrap w:val="0"/>
            <w:vAlign w:val="center"/>
          </w:tcPr>
          <w:p>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noWrap w:val="0"/>
            <w:vAlign w:val="top"/>
          </w:tcPr>
          <w:p>
            <w:pPr>
              <w:widowControl/>
              <w:spacing w:line="240" w:lineRule="exact"/>
              <w:rPr>
                <w:bCs/>
                <w:kern w:val="0"/>
                <w:sz w:val="15"/>
                <w:szCs w:val="15"/>
              </w:rPr>
            </w:pPr>
            <w:r>
              <w:rPr>
                <w:rFonts w:hint="eastAsia"/>
                <w:bCs/>
                <w:kern w:val="0"/>
                <w:sz w:val="15"/>
                <w:szCs w:val="15"/>
              </w:rPr>
              <w:t>门口信息牌有标识；查看资料、实验记录、询问学生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w:t>
            </w:r>
          </w:p>
        </w:tc>
        <w:tc>
          <w:tcPr>
            <w:tcW w:w="5603" w:type="dxa"/>
            <w:noWrap w:val="0"/>
            <w:vAlign w:val="center"/>
          </w:tcPr>
          <w:p>
            <w:pPr>
              <w:widowControl/>
              <w:spacing w:line="240" w:lineRule="exact"/>
              <w:jc w:val="left"/>
              <w:rPr>
                <w:kern w:val="0"/>
                <w:szCs w:val="21"/>
              </w:rPr>
            </w:pPr>
            <w:r>
              <w:rPr>
                <w:rFonts w:hint="eastAsia"/>
                <w:kern w:val="0"/>
                <w:szCs w:val="21"/>
              </w:rPr>
              <w:t>对于涉及危险源的实验场所，有明确的警示标识</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w:t>
            </w:r>
          </w:p>
        </w:tc>
        <w:tc>
          <w:tcPr>
            <w:tcW w:w="5603" w:type="dxa"/>
            <w:noWrap w:val="0"/>
            <w:vAlign w:val="center"/>
          </w:tcPr>
          <w:p>
            <w:pPr>
              <w:widowControl/>
              <w:spacing w:line="240" w:lineRule="exact"/>
              <w:rPr>
                <w:kern w:val="0"/>
                <w:szCs w:val="21"/>
              </w:rPr>
            </w:pPr>
            <w:r>
              <w:rPr>
                <w:kern w:val="0"/>
                <w:szCs w:val="21"/>
              </w:rPr>
              <w:t>实验室物品摆放有序，卫生状况良好；实验完毕物品归位</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w:t>
            </w:r>
          </w:p>
        </w:tc>
        <w:tc>
          <w:tcPr>
            <w:tcW w:w="5603" w:type="dxa"/>
            <w:noWrap w:val="0"/>
            <w:vAlign w:val="center"/>
          </w:tcPr>
          <w:p>
            <w:pPr>
              <w:widowControl/>
              <w:spacing w:line="240" w:lineRule="exact"/>
              <w:jc w:val="left"/>
              <w:rPr>
                <w:kern w:val="0"/>
                <w:szCs w:val="21"/>
              </w:rPr>
            </w:pPr>
            <w:r>
              <w:rPr>
                <w:kern w:val="0"/>
                <w:szCs w:val="21"/>
              </w:rPr>
              <w:t>不存在门开着而无人的现象</w:t>
            </w:r>
          </w:p>
        </w:tc>
        <w:tc>
          <w:tcPr>
            <w:tcW w:w="2519" w:type="dxa"/>
            <w:noWrap w:val="0"/>
            <w:vAlign w:val="top"/>
          </w:tcPr>
          <w:p>
            <w:pPr>
              <w:widowControl/>
              <w:spacing w:line="240" w:lineRule="exact"/>
              <w:jc w:val="center"/>
              <w:rPr>
                <w:b/>
                <w:bCs/>
                <w:kern w:val="0"/>
                <w:sz w:val="15"/>
                <w:szCs w:val="15"/>
              </w:rPr>
            </w:pPr>
            <w:r>
              <w:rPr>
                <w:rFonts w:hint="eastAsia"/>
                <w:bCs/>
                <w:sz w:val="15"/>
                <w:szCs w:val="15"/>
              </w:rPr>
              <w:t>人员要在岗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w:t>
            </w:r>
          </w:p>
        </w:tc>
        <w:tc>
          <w:tcPr>
            <w:tcW w:w="5603" w:type="dxa"/>
            <w:noWrap w:val="0"/>
            <w:vAlign w:val="center"/>
          </w:tcPr>
          <w:p>
            <w:pPr>
              <w:widowControl/>
              <w:spacing w:line="240" w:lineRule="exact"/>
              <w:rPr>
                <w:kern w:val="0"/>
                <w:szCs w:val="21"/>
              </w:rPr>
            </w:pPr>
            <w:r>
              <w:rPr>
                <w:kern w:val="0"/>
                <w:szCs w:val="21"/>
              </w:rPr>
              <w:t>无废弃物品（如纸板箱、废电脑、破仪器、破家具等）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w:t>
            </w:r>
          </w:p>
        </w:tc>
        <w:tc>
          <w:tcPr>
            <w:tcW w:w="5603" w:type="dxa"/>
            <w:noWrap w:val="0"/>
            <w:vAlign w:val="center"/>
          </w:tcPr>
          <w:p>
            <w:pPr>
              <w:widowControl/>
              <w:spacing w:line="240" w:lineRule="exact"/>
              <w:jc w:val="left"/>
              <w:rPr>
                <w:kern w:val="0"/>
                <w:szCs w:val="21"/>
              </w:rPr>
            </w:pPr>
            <w:r>
              <w:rPr>
                <w:kern w:val="0"/>
                <w:szCs w:val="21"/>
              </w:rPr>
              <w:t>实验室内不放无关物品，如电动车、自行车等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8</w:t>
            </w:r>
          </w:p>
        </w:tc>
        <w:tc>
          <w:tcPr>
            <w:tcW w:w="5603" w:type="dxa"/>
            <w:noWrap w:val="0"/>
            <w:vAlign w:val="center"/>
          </w:tcPr>
          <w:p>
            <w:pPr>
              <w:widowControl/>
              <w:spacing w:line="240" w:lineRule="exact"/>
              <w:rPr>
                <w:kern w:val="0"/>
                <w:szCs w:val="21"/>
              </w:rPr>
            </w:pPr>
            <w:r>
              <w:rPr>
                <w:rFonts w:hint="eastAsia"/>
                <w:kern w:val="0"/>
                <w:szCs w:val="21"/>
              </w:rPr>
              <w:t>实验室内不存放或烧煮食物、饮食，无吸烟现象</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有无烹饪工具、食物、吸烟痕迹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9</w:t>
            </w:r>
          </w:p>
        </w:tc>
        <w:tc>
          <w:tcPr>
            <w:tcW w:w="5603" w:type="dxa"/>
            <w:noWrap w:val="0"/>
            <w:vAlign w:val="center"/>
          </w:tcPr>
          <w:p>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10</w:t>
            </w:r>
          </w:p>
        </w:tc>
        <w:tc>
          <w:tcPr>
            <w:tcW w:w="5603" w:type="dxa"/>
            <w:noWrap w:val="0"/>
            <w:vAlign w:val="center"/>
          </w:tcPr>
          <w:p>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可燃气管道远离高温、明火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11</w:t>
            </w:r>
          </w:p>
        </w:tc>
        <w:tc>
          <w:tcPr>
            <w:tcW w:w="5603" w:type="dxa"/>
            <w:noWrap w:val="0"/>
            <w:vAlign w:val="center"/>
          </w:tcPr>
          <w:p>
            <w:pPr>
              <w:widowControl/>
              <w:spacing w:line="240" w:lineRule="exact"/>
              <w:jc w:val="left"/>
              <w:rPr>
                <w:kern w:val="0"/>
                <w:szCs w:val="21"/>
              </w:rPr>
            </w:pPr>
            <w:r>
              <w:rPr>
                <w:kern w:val="0"/>
                <w:szCs w:val="21"/>
              </w:rPr>
              <w:t>化学、生物类实验室不得使用可燃性蚊香。其它实验室如需使用，其底盘必须是金属的</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12</w:t>
            </w:r>
          </w:p>
        </w:tc>
        <w:tc>
          <w:tcPr>
            <w:tcW w:w="5603" w:type="dxa"/>
            <w:noWrap w:val="0"/>
            <w:vAlign w:val="center"/>
          </w:tcPr>
          <w:p>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8" w:type="dxa"/>
            <w:noWrap w:val="0"/>
            <w:vAlign w:val="top"/>
          </w:tcPr>
          <w:p>
            <w:pPr>
              <w:jc w:val="center"/>
            </w:pPr>
            <w:r>
              <w:t>13</w:t>
            </w:r>
          </w:p>
        </w:tc>
        <w:tc>
          <w:tcPr>
            <w:tcW w:w="5603" w:type="dxa"/>
            <w:noWrap w:val="0"/>
            <w:vAlign w:val="center"/>
          </w:tcPr>
          <w:p>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noWrap w:val="0"/>
            <w:vAlign w:val="top"/>
          </w:tcPr>
          <w:p>
            <w:pPr>
              <w:widowControl/>
              <w:spacing w:line="240" w:lineRule="exact"/>
              <w:jc w:val="center"/>
              <w:rPr>
                <w:b/>
                <w:bCs/>
                <w:kern w:val="0"/>
                <w:sz w:val="15"/>
                <w:szCs w:val="15"/>
              </w:rPr>
            </w:pPr>
            <w:r>
              <w:rPr>
                <w:rFonts w:hint="eastAsia"/>
                <w:bCs/>
                <w:kern w:val="0"/>
                <w:sz w:val="15"/>
                <w:szCs w:val="15"/>
              </w:rPr>
              <w:t>查看维护记录、无锈水脏水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28" w:type="dxa"/>
            <w:noWrap w:val="0"/>
            <w:vAlign w:val="top"/>
          </w:tcPr>
          <w:p>
            <w:pPr>
              <w:jc w:val="center"/>
            </w:pPr>
            <w:r>
              <w:t>14</w:t>
            </w:r>
          </w:p>
        </w:tc>
        <w:tc>
          <w:tcPr>
            <w:tcW w:w="5603" w:type="dxa"/>
            <w:noWrap w:val="0"/>
            <w:vAlign w:val="center"/>
          </w:tcPr>
          <w:p>
            <w:pPr>
              <w:widowControl/>
              <w:spacing w:line="240" w:lineRule="exact"/>
              <w:jc w:val="left"/>
              <w:rPr>
                <w:kern w:val="0"/>
                <w:szCs w:val="21"/>
              </w:rPr>
            </w:pPr>
            <w:r>
              <w:rPr>
                <w:rFonts w:hint="eastAsia"/>
                <w:szCs w:val="21"/>
              </w:rPr>
              <w:t>任何可能产生高浓度有害气体而导致个人曝露、或产生可燃、可爆炸气体或蒸汽而导致积聚的实验，都应在通风橱内进行</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15</w:t>
            </w:r>
          </w:p>
        </w:tc>
        <w:tc>
          <w:tcPr>
            <w:tcW w:w="5603" w:type="dxa"/>
            <w:noWrap w:val="0"/>
            <w:vAlign w:val="center"/>
          </w:tcPr>
          <w:p>
            <w:pPr>
              <w:widowControl/>
              <w:spacing w:line="240" w:lineRule="exact"/>
              <w:jc w:val="left"/>
              <w:rPr>
                <w:kern w:val="0"/>
                <w:szCs w:val="21"/>
              </w:rPr>
            </w:pPr>
            <w:r>
              <w:rPr>
                <w:rFonts w:hint="eastAsia"/>
                <w:kern w:val="0"/>
                <w:szCs w:val="21"/>
              </w:rPr>
              <w:t>对于产生可燃气体或蒸气的装置，应在其进、出口处安装阻火器。室内应加强通风，以使爆炸物浓度控制在爆炸下限值以下</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16</w:t>
            </w:r>
          </w:p>
        </w:tc>
        <w:tc>
          <w:tcPr>
            <w:tcW w:w="5603" w:type="dxa"/>
            <w:noWrap w:val="0"/>
            <w:vAlign w:val="center"/>
          </w:tcPr>
          <w:p>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17</w:t>
            </w:r>
          </w:p>
        </w:tc>
        <w:tc>
          <w:tcPr>
            <w:tcW w:w="5603" w:type="dxa"/>
            <w:noWrap w:val="0"/>
            <w:vAlign w:val="center"/>
          </w:tcPr>
          <w:p>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28" w:type="dxa"/>
            <w:noWrap w:val="0"/>
            <w:vAlign w:val="top"/>
          </w:tcPr>
          <w:p>
            <w:pPr>
              <w:jc w:val="center"/>
            </w:pPr>
            <w:r>
              <w:t>18</w:t>
            </w:r>
          </w:p>
        </w:tc>
        <w:tc>
          <w:tcPr>
            <w:tcW w:w="5603" w:type="dxa"/>
            <w:noWrap w:val="0"/>
            <w:vAlign w:val="center"/>
          </w:tcPr>
          <w:p>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用电功率匹配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28" w:type="dxa"/>
            <w:noWrap w:val="0"/>
            <w:vAlign w:val="top"/>
          </w:tcPr>
          <w:p>
            <w:pPr>
              <w:jc w:val="center"/>
            </w:pPr>
            <w:r>
              <w:t>19</w:t>
            </w:r>
          </w:p>
        </w:tc>
        <w:tc>
          <w:tcPr>
            <w:tcW w:w="5603" w:type="dxa"/>
            <w:noWrap w:val="0"/>
            <w:vAlign w:val="center"/>
          </w:tcPr>
          <w:p>
            <w:pPr>
              <w:widowControl/>
              <w:spacing w:line="240" w:lineRule="exact"/>
              <w:jc w:val="left"/>
              <w:rPr>
                <w:kern w:val="0"/>
                <w:szCs w:val="21"/>
              </w:rPr>
            </w:pPr>
            <w:r>
              <w:rPr>
                <w:rFonts w:hint="eastAsia"/>
                <w:kern w:val="0"/>
                <w:szCs w:val="21"/>
              </w:rPr>
              <w:t>不私自乱拉乱接电线电缆，不使用老化的线缆、花线和木质配电板</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20</w:t>
            </w:r>
          </w:p>
        </w:tc>
        <w:tc>
          <w:tcPr>
            <w:tcW w:w="5603" w:type="dxa"/>
            <w:noWrap w:val="0"/>
            <w:vAlign w:val="center"/>
          </w:tcPr>
          <w:p>
            <w:pPr>
              <w:widowControl/>
              <w:spacing w:line="240" w:lineRule="exact"/>
              <w:jc w:val="left"/>
              <w:rPr>
                <w:kern w:val="0"/>
                <w:szCs w:val="21"/>
              </w:rPr>
            </w:pPr>
            <w:r>
              <w:rPr>
                <w:rFonts w:hint="eastAsia"/>
                <w:kern w:val="0"/>
                <w:szCs w:val="21"/>
              </w:rPr>
              <w:t>禁止多个接线板串接供电，接线板不宜直接置于地面</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noWrap w:val="0"/>
            <w:vAlign w:val="top"/>
          </w:tcPr>
          <w:p>
            <w:pPr>
              <w:jc w:val="center"/>
            </w:pPr>
            <w:r>
              <w:t>21</w:t>
            </w:r>
          </w:p>
        </w:tc>
        <w:tc>
          <w:tcPr>
            <w:tcW w:w="5603" w:type="dxa"/>
            <w:noWrap w:val="0"/>
            <w:vAlign w:val="center"/>
          </w:tcPr>
          <w:p>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22</w:t>
            </w:r>
          </w:p>
        </w:tc>
        <w:tc>
          <w:tcPr>
            <w:tcW w:w="5603" w:type="dxa"/>
            <w:noWrap w:val="0"/>
            <w:vAlign w:val="center"/>
          </w:tcPr>
          <w:p>
            <w:pPr>
              <w:widowControl/>
              <w:spacing w:line="240" w:lineRule="exact"/>
              <w:jc w:val="left"/>
              <w:rPr>
                <w:kern w:val="0"/>
                <w:szCs w:val="21"/>
              </w:rPr>
            </w:pPr>
            <w:r>
              <w:rPr>
                <w:rFonts w:hint="eastAsia"/>
                <w:kern w:val="0"/>
                <w:szCs w:val="21"/>
              </w:rPr>
              <w:t>无人监管状态下，应切断充电器（宝）的充电电源</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23</w:t>
            </w:r>
          </w:p>
        </w:tc>
        <w:tc>
          <w:tcPr>
            <w:tcW w:w="5603" w:type="dxa"/>
            <w:noWrap w:val="0"/>
            <w:vAlign w:val="center"/>
          </w:tcPr>
          <w:p>
            <w:pPr>
              <w:widowControl/>
              <w:spacing w:line="240" w:lineRule="exact"/>
              <w:jc w:val="left"/>
              <w:rPr>
                <w:kern w:val="0"/>
                <w:szCs w:val="21"/>
              </w:rPr>
            </w:pPr>
            <w:r>
              <w:rPr>
                <w:kern w:val="0"/>
                <w:szCs w:val="21"/>
              </w:rPr>
              <w:t>水槽边不安装电源插座，如确实需要，应有防护挡板或防护罩</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28" w:type="dxa"/>
            <w:noWrap w:val="0"/>
            <w:vAlign w:val="top"/>
          </w:tcPr>
          <w:p>
            <w:pPr>
              <w:jc w:val="center"/>
            </w:pPr>
            <w:r>
              <w:t>24</w:t>
            </w:r>
          </w:p>
        </w:tc>
        <w:tc>
          <w:tcPr>
            <w:tcW w:w="5603" w:type="dxa"/>
            <w:noWrap w:val="0"/>
            <w:vAlign w:val="center"/>
          </w:tcPr>
          <w:p>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pPr>
              <w:jc w:val="center"/>
            </w:pPr>
            <w:r>
              <w:t>25</w:t>
            </w:r>
          </w:p>
        </w:tc>
        <w:tc>
          <w:tcPr>
            <w:tcW w:w="5603" w:type="dxa"/>
            <w:noWrap w:val="0"/>
            <w:vAlign w:val="center"/>
          </w:tcPr>
          <w:p>
            <w:pPr>
              <w:widowControl/>
              <w:spacing w:line="240" w:lineRule="exact"/>
              <w:jc w:val="left"/>
              <w:rPr>
                <w:kern w:val="0"/>
                <w:szCs w:val="21"/>
              </w:rPr>
            </w:pPr>
            <w:r>
              <w:rPr>
                <w:kern w:val="0"/>
                <w:szCs w:val="21"/>
              </w:rPr>
              <w:t>电线接头绝缘可靠，无裸露连接线，地板上的导线应有盖板或护套</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26</w:t>
            </w:r>
          </w:p>
        </w:tc>
        <w:tc>
          <w:tcPr>
            <w:tcW w:w="5603" w:type="dxa"/>
            <w:noWrap w:val="0"/>
            <w:vAlign w:val="center"/>
          </w:tcPr>
          <w:p>
            <w:pPr>
              <w:widowControl/>
              <w:spacing w:line="240" w:lineRule="exact"/>
              <w:jc w:val="left"/>
              <w:rPr>
                <w:kern w:val="0"/>
                <w:szCs w:val="21"/>
              </w:rPr>
            </w:pPr>
            <w:r>
              <w:rPr>
                <w:kern w:val="0"/>
                <w:szCs w:val="21"/>
              </w:rPr>
              <w:t>加热器采用耐高温阻燃导线</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pPr>
              <w:jc w:val="center"/>
            </w:pPr>
            <w:r>
              <w:t>27</w:t>
            </w:r>
          </w:p>
        </w:tc>
        <w:tc>
          <w:tcPr>
            <w:tcW w:w="5603" w:type="dxa"/>
            <w:noWrap w:val="0"/>
            <w:vAlign w:val="center"/>
          </w:tcPr>
          <w:p>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28</w:t>
            </w:r>
          </w:p>
        </w:tc>
        <w:tc>
          <w:tcPr>
            <w:tcW w:w="5603" w:type="dxa"/>
            <w:noWrap w:val="0"/>
            <w:vAlign w:val="center"/>
          </w:tcPr>
          <w:p>
            <w:pPr>
              <w:widowControl/>
              <w:spacing w:line="240" w:lineRule="exact"/>
              <w:jc w:val="left"/>
              <w:rPr>
                <w:kern w:val="0"/>
                <w:szCs w:val="21"/>
              </w:rPr>
            </w:pPr>
            <w:r>
              <w:rPr>
                <w:rFonts w:hint="eastAsia"/>
                <w:kern w:val="0"/>
                <w:szCs w:val="21"/>
              </w:rPr>
              <w:t>水槽、地漏及下水道畅通，水龙头、上下水管无破损</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pPr>
              <w:jc w:val="center"/>
            </w:pPr>
            <w:r>
              <w:t>29</w:t>
            </w:r>
          </w:p>
        </w:tc>
        <w:tc>
          <w:tcPr>
            <w:tcW w:w="5603" w:type="dxa"/>
            <w:noWrap w:val="0"/>
            <w:vAlign w:val="center"/>
          </w:tcPr>
          <w:p>
            <w:pPr>
              <w:widowControl/>
              <w:spacing w:line="240" w:lineRule="exact"/>
              <w:jc w:val="left"/>
              <w:rPr>
                <w:kern w:val="0"/>
                <w:szCs w:val="21"/>
              </w:rPr>
            </w:pPr>
            <w:r>
              <w:rPr>
                <w:kern w:val="0"/>
                <w:szCs w:val="21"/>
              </w:rPr>
              <w:t>各类链接管无老化破损现象（特别是冷却冷凝系统的橡胶管接口处）</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30</w:t>
            </w:r>
          </w:p>
        </w:tc>
        <w:tc>
          <w:tcPr>
            <w:tcW w:w="5603" w:type="dxa"/>
            <w:noWrap w:val="0"/>
            <w:vAlign w:val="center"/>
          </w:tcPr>
          <w:p>
            <w:pPr>
              <w:widowControl/>
              <w:spacing w:line="240" w:lineRule="exact"/>
              <w:jc w:val="left"/>
              <w:rPr>
                <w:kern w:val="0"/>
                <w:szCs w:val="21"/>
              </w:rPr>
            </w:pPr>
            <w:r>
              <w:rPr>
                <w:kern w:val="0"/>
                <w:szCs w:val="21"/>
              </w:rPr>
              <w:t>无自来水龙头开着时人离开的现象</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noWrap w:val="0"/>
            <w:vAlign w:val="top"/>
          </w:tcPr>
          <w:p>
            <w:pPr>
              <w:jc w:val="center"/>
            </w:pPr>
            <w:r>
              <w:t>31</w:t>
            </w:r>
          </w:p>
        </w:tc>
        <w:tc>
          <w:tcPr>
            <w:tcW w:w="5603" w:type="dxa"/>
            <w:noWrap w:val="0"/>
            <w:vAlign w:val="center"/>
          </w:tcPr>
          <w:p>
            <w:pPr>
              <w:widowControl/>
              <w:spacing w:line="240" w:lineRule="exact"/>
              <w:jc w:val="left"/>
              <w:rPr>
                <w:kern w:val="0"/>
                <w:szCs w:val="21"/>
              </w:rPr>
            </w:pPr>
            <w:r>
              <w:rPr>
                <w:rFonts w:hint="eastAsia"/>
                <w:kern w:val="0"/>
                <w:szCs w:val="21"/>
              </w:rPr>
              <w:t>凡进入实验室人员需穿着质地合适的长袖实验服或防护服</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32</w:t>
            </w:r>
          </w:p>
        </w:tc>
        <w:tc>
          <w:tcPr>
            <w:tcW w:w="5603" w:type="dxa"/>
            <w:noWrap w:val="0"/>
            <w:vAlign w:val="center"/>
          </w:tcPr>
          <w:p>
            <w:pPr>
              <w:widowControl/>
              <w:spacing w:line="300" w:lineRule="exact"/>
              <w:jc w:val="left"/>
              <w:rPr>
                <w:kern w:val="0"/>
                <w:szCs w:val="21"/>
              </w:rPr>
            </w:pPr>
            <w:r>
              <w:rPr>
                <w:kern w:val="0"/>
                <w:szCs w:val="21"/>
              </w:rPr>
              <w:t>按需要佩戴防护眼镜（如进行化学实验、有危险的机械操作等）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33</w:t>
            </w:r>
          </w:p>
        </w:tc>
        <w:tc>
          <w:tcPr>
            <w:tcW w:w="5603" w:type="dxa"/>
            <w:noWrap w:val="0"/>
            <w:vAlign w:val="center"/>
          </w:tcPr>
          <w:p>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34</w:t>
            </w:r>
          </w:p>
        </w:tc>
        <w:tc>
          <w:tcPr>
            <w:tcW w:w="5603" w:type="dxa"/>
            <w:noWrap w:val="0"/>
            <w:vAlign w:val="center"/>
          </w:tcPr>
          <w:p>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pPr>
              <w:jc w:val="center"/>
            </w:pPr>
            <w:r>
              <w:t>35</w:t>
            </w:r>
          </w:p>
        </w:tc>
        <w:tc>
          <w:tcPr>
            <w:tcW w:w="5603" w:type="dxa"/>
            <w:noWrap w:val="0"/>
            <w:vAlign w:val="center"/>
          </w:tcPr>
          <w:p>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828" w:type="dxa"/>
            <w:noWrap w:val="0"/>
            <w:vAlign w:val="top"/>
          </w:tcPr>
          <w:p>
            <w:pPr>
              <w:jc w:val="center"/>
            </w:pPr>
            <w:r>
              <w:t>36</w:t>
            </w:r>
          </w:p>
        </w:tc>
        <w:tc>
          <w:tcPr>
            <w:tcW w:w="5603" w:type="dxa"/>
            <w:noWrap w:val="0"/>
            <w:vAlign w:val="center"/>
          </w:tcPr>
          <w:p>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37</w:t>
            </w:r>
          </w:p>
        </w:tc>
        <w:tc>
          <w:tcPr>
            <w:tcW w:w="5603" w:type="dxa"/>
            <w:noWrap w:val="0"/>
            <w:vAlign w:val="center"/>
          </w:tcPr>
          <w:p>
            <w:pPr>
              <w:widowControl/>
              <w:spacing w:line="240" w:lineRule="exact"/>
              <w:jc w:val="left"/>
              <w:rPr>
                <w:kern w:val="0"/>
                <w:szCs w:val="21"/>
              </w:rPr>
            </w:pPr>
            <w:r>
              <w:rPr>
                <w:kern w:val="0"/>
                <w:szCs w:val="21"/>
              </w:rPr>
              <w:t>危险性实验（如高温、高压、高速运转等）时必须有两人在场</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38</w:t>
            </w:r>
          </w:p>
        </w:tc>
        <w:tc>
          <w:tcPr>
            <w:tcW w:w="5603" w:type="dxa"/>
            <w:noWrap w:val="0"/>
            <w:vAlign w:val="center"/>
          </w:tcPr>
          <w:p>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noWrap w:val="0"/>
            <w:vAlign w:val="top"/>
          </w:tcPr>
          <w:p>
            <w:pPr>
              <w:widowControl/>
              <w:spacing w:line="240" w:lineRule="exact"/>
              <w:jc w:val="center"/>
              <w:rPr>
                <w:b/>
                <w:bCs/>
                <w:kern w:val="0"/>
                <w:sz w:val="15"/>
                <w:szCs w:val="15"/>
              </w:rPr>
            </w:pPr>
            <w:r>
              <w:rPr>
                <w:rFonts w:hint="eastAsia"/>
                <w:bCs/>
                <w:kern w:val="0"/>
                <w:sz w:val="15"/>
                <w:szCs w:val="15"/>
              </w:rPr>
              <w:t>检查审批制度及记录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828" w:type="dxa"/>
            <w:noWrap w:val="0"/>
            <w:vAlign w:val="top"/>
          </w:tcPr>
          <w:p>
            <w:pPr>
              <w:jc w:val="center"/>
            </w:pPr>
            <w:r>
              <w:t>39</w:t>
            </w:r>
          </w:p>
        </w:tc>
        <w:tc>
          <w:tcPr>
            <w:tcW w:w="5603" w:type="dxa"/>
            <w:noWrap w:val="0"/>
            <w:vAlign w:val="center"/>
          </w:tcPr>
          <w:p>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noWrap w:val="0"/>
            <w:vAlign w:val="top"/>
          </w:tcPr>
          <w:p>
            <w:pPr>
              <w:widowControl/>
              <w:spacing w:line="240" w:lineRule="exact"/>
              <w:jc w:val="center"/>
              <w:rPr>
                <w:rFonts w:hint="eastAsia"/>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28" w:type="dxa"/>
            <w:noWrap w:val="0"/>
            <w:vAlign w:val="top"/>
          </w:tcPr>
          <w:p>
            <w:pPr>
              <w:jc w:val="center"/>
            </w:pPr>
            <w:r>
              <w:t>40</w:t>
            </w:r>
          </w:p>
        </w:tc>
        <w:tc>
          <w:tcPr>
            <w:tcW w:w="5603" w:type="dxa"/>
            <w:noWrap w:val="0"/>
            <w:vAlign w:val="center"/>
          </w:tcPr>
          <w:p>
            <w:pPr>
              <w:widowControl/>
              <w:spacing w:line="240" w:lineRule="exact"/>
              <w:rPr>
                <w:b/>
                <w:kern w:val="0"/>
                <w:szCs w:val="21"/>
              </w:rPr>
            </w:pPr>
            <w:r>
              <w:rPr>
                <w:kern w:val="0"/>
                <w:szCs w:val="21"/>
              </w:rPr>
              <w:t>有房间内化学品的动态台帐</w:t>
            </w:r>
            <w:r>
              <w:rPr>
                <w:rFonts w:hint="eastAsia"/>
                <w:kern w:val="0"/>
                <w:szCs w:val="21"/>
              </w:rPr>
              <w:t>；建立本实验室危险化学品目录，并有危险化学品安全技术说明书（MSDS）或安全周知卡，方便查阅</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828" w:type="dxa"/>
            <w:noWrap w:val="0"/>
            <w:vAlign w:val="top"/>
          </w:tcPr>
          <w:p>
            <w:pPr>
              <w:jc w:val="center"/>
            </w:pPr>
            <w:r>
              <w:t>41</w:t>
            </w:r>
          </w:p>
        </w:tc>
        <w:tc>
          <w:tcPr>
            <w:tcW w:w="5603" w:type="dxa"/>
            <w:noWrap w:val="0"/>
            <w:vAlign w:val="center"/>
          </w:tcPr>
          <w:p>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28" w:type="dxa"/>
            <w:noWrap w:val="0"/>
            <w:vAlign w:val="top"/>
          </w:tcPr>
          <w:p>
            <w:pPr>
              <w:jc w:val="center"/>
            </w:pPr>
            <w:r>
              <w:t>42</w:t>
            </w:r>
          </w:p>
        </w:tc>
        <w:tc>
          <w:tcPr>
            <w:tcW w:w="5603" w:type="dxa"/>
            <w:noWrap w:val="0"/>
            <w:vAlign w:val="center"/>
          </w:tcPr>
          <w:p>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tblPrEx>
          <w:tblCellMar>
            <w:top w:w="0" w:type="dxa"/>
            <w:left w:w="108" w:type="dxa"/>
            <w:bottom w:w="0" w:type="dxa"/>
            <w:right w:w="108" w:type="dxa"/>
          </w:tblCellMar>
        </w:tblPrEx>
        <w:tc>
          <w:tcPr>
            <w:tcW w:w="828" w:type="dxa"/>
            <w:noWrap w:val="0"/>
            <w:vAlign w:val="top"/>
          </w:tcPr>
          <w:p>
            <w:pPr>
              <w:jc w:val="center"/>
            </w:pPr>
            <w:r>
              <w:t>43</w:t>
            </w:r>
          </w:p>
        </w:tc>
        <w:tc>
          <w:tcPr>
            <w:tcW w:w="5603" w:type="dxa"/>
            <w:noWrap w:val="0"/>
            <w:vAlign w:val="center"/>
          </w:tcPr>
          <w:p>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查看现场，按50平米为标准，存放量以实验室面积比考察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44</w:t>
            </w:r>
          </w:p>
        </w:tc>
        <w:tc>
          <w:tcPr>
            <w:tcW w:w="5603" w:type="dxa"/>
            <w:noWrap w:val="0"/>
            <w:vAlign w:val="center"/>
          </w:tcPr>
          <w:p>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noWrap w:val="0"/>
            <w:vAlign w:val="top"/>
          </w:tcPr>
          <w:p>
            <w:pPr>
              <w:widowControl/>
              <w:spacing w:line="240" w:lineRule="exact"/>
              <w:jc w:val="center"/>
              <w:rPr>
                <w:b/>
                <w:bCs/>
                <w:kern w:val="0"/>
                <w:sz w:val="15"/>
                <w:szCs w:val="15"/>
              </w:rPr>
            </w:pPr>
            <w:r>
              <w:rPr>
                <w:rFonts w:hint="eastAsia"/>
                <w:bCs/>
                <w:kern w:val="0"/>
                <w:sz w:val="15"/>
                <w:szCs w:val="15"/>
              </w:rPr>
              <w:t>查看实验台、存储柜、冰箱等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45</w:t>
            </w:r>
          </w:p>
        </w:tc>
        <w:tc>
          <w:tcPr>
            <w:tcW w:w="5603" w:type="dxa"/>
            <w:noWrap w:val="0"/>
            <w:vAlign w:val="center"/>
          </w:tcPr>
          <w:p>
            <w:pPr>
              <w:widowControl/>
              <w:spacing w:line="240" w:lineRule="exact"/>
              <w:jc w:val="left"/>
              <w:rPr>
                <w:kern w:val="0"/>
                <w:szCs w:val="21"/>
              </w:rPr>
            </w:pPr>
            <w:r>
              <w:rPr>
                <w:kern w:val="0"/>
                <w:szCs w:val="21"/>
              </w:rPr>
              <w:t>过期药品定期清理，无过期药品累积</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46</w:t>
            </w:r>
          </w:p>
        </w:tc>
        <w:tc>
          <w:tcPr>
            <w:tcW w:w="5603" w:type="dxa"/>
            <w:noWrap w:val="0"/>
            <w:vAlign w:val="center"/>
          </w:tcPr>
          <w:p>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2519" w:type="dxa"/>
            <w:noWrap w:val="0"/>
            <w:vAlign w:val="top"/>
          </w:tcPr>
          <w:p>
            <w:pPr>
              <w:widowControl/>
              <w:spacing w:line="240" w:lineRule="exact"/>
              <w:jc w:val="center"/>
              <w:rPr>
                <w:b/>
                <w:bCs/>
                <w:kern w:val="0"/>
                <w:sz w:val="15"/>
                <w:szCs w:val="15"/>
              </w:rPr>
            </w:pPr>
          </w:p>
        </w:tc>
      </w:tr>
      <w:tr>
        <w:tblPrEx>
          <w:tblCellMar>
            <w:top w:w="0" w:type="dxa"/>
            <w:left w:w="108" w:type="dxa"/>
            <w:bottom w:w="0" w:type="dxa"/>
            <w:right w:w="108" w:type="dxa"/>
          </w:tblCellMar>
        </w:tblPrEx>
        <w:tc>
          <w:tcPr>
            <w:tcW w:w="828" w:type="dxa"/>
            <w:noWrap w:val="0"/>
            <w:vAlign w:val="top"/>
          </w:tcPr>
          <w:p>
            <w:pPr>
              <w:jc w:val="center"/>
            </w:pPr>
            <w:r>
              <w:t>47</w:t>
            </w:r>
          </w:p>
        </w:tc>
        <w:tc>
          <w:tcPr>
            <w:tcW w:w="5603" w:type="dxa"/>
            <w:noWrap w:val="0"/>
            <w:vAlign w:val="center"/>
          </w:tcPr>
          <w:p>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noWrap w:val="0"/>
            <w:vAlign w:val="top"/>
          </w:tcPr>
          <w:p>
            <w:pPr>
              <w:widowControl/>
              <w:spacing w:line="240" w:lineRule="exact"/>
              <w:jc w:val="center"/>
              <w:rPr>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48</w:t>
            </w:r>
          </w:p>
        </w:tc>
        <w:tc>
          <w:tcPr>
            <w:tcW w:w="5603" w:type="dxa"/>
            <w:noWrap w:val="0"/>
            <w:vAlign w:val="center"/>
          </w:tcPr>
          <w:p>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49</w:t>
            </w:r>
          </w:p>
        </w:tc>
        <w:tc>
          <w:tcPr>
            <w:tcW w:w="5603" w:type="dxa"/>
            <w:noWrap w:val="0"/>
            <w:vAlign w:val="center"/>
          </w:tcPr>
          <w:p>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50</w:t>
            </w:r>
          </w:p>
        </w:tc>
        <w:tc>
          <w:tcPr>
            <w:tcW w:w="5603" w:type="dxa"/>
            <w:noWrap w:val="0"/>
            <w:vAlign w:val="center"/>
          </w:tcPr>
          <w:p>
            <w:pPr>
              <w:widowControl/>
              <w:spacing w:line="240" w:lineRule="exact"/>
              <w:jc w:val="left"/>
              <w:rPr>
                <w:kern w:val="0"/>
                <w:szCs w:val="21"/>
              </w:rPr>
            </w:pPr>
            <w:r>
              <w:rPr>
                <w:kern w:val="0"/>
                <w:szCs w:val="21"/>
              </w:rPr>
              <w:t>可燃性气体与氧气等助燃气体不混放</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51</w:t>
            </w:r>
          </w:p>
        </w:tc>
        <w:tc>
          <w:tcPr>
            <w:tcW w:w="5603" w:type="dxa"/>
            <w:noWrap w:val="0"/>
            <w:vAlign w:val="center"/>
          </w:tcPr>
          <w:p>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52</w:t>
            </w:r>
          </w:p>
        </w:tc>
        <w:tc>
          <w:tcPr>
            <w:tcW w:w="5603" w:type="dxa"/>
            <w:noWrap w:val="0"/>
            <w:vAlign w:val="center"/>
          </w:tcPr>
          <w:p>
            <w:pPr>
              <w:widowControl/>
              <w:spacing w:line="240" w:lineRule="exact"/>
              <w:jc w:val="left"/>
              <w:rPr>
                <w:kern w:val="0"/>
                <w:szCs w:val="21"/>
              </w:rPr>
            </w:pPr>
            <w:r>
              <w:rPr>
                <w:kern w:val="0"/>
                <w:szCs w:val="21"/>
              </w:rPr>
              <w:t>不能带着减压阀移动钢瓶、不得在地上滚动钢瓶</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53</w:t>
            </w:r>
          </w:p>
        </w:tc>
        <w:tc>
          <w:tcPr>
            <w:tcW w:w="5603" w:type="dxa"/>
            <w:noWrap w:val="0"/>
            <w:vAlign w:val="center"/>
          </w:tcPr>
          <w:p>
            <w:pPr>
              <w:widowControl/>
              <w:spacing w:line="240" w:lineRule="exact"/>
              <w:jc w:val="left"/>
              <w:rPr>
                <w:kern w:val="0"/>
                <w:szCs w:val="21"/>
              </w:rPr>
            </w:pPr>
            <w:r>
              <w:rPr>
                <w:kern w:val="0"/>
                <w:szCs w:val="21"/>
              </w:rPr>
              <w:t>时常进行检漏，实验结束后，气体钢瓶总阀已关闭</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54</w:t>
            </w:r>
          </w:p>
        </w:tc>
        <w:tc>
          <w:tcPr>
            <w:tcW w:w="5603" w:type="dxa"/>
            <w:noWrap w:val="0"/>
            <w:vAlign w:val="center"/>
          </w:tcPr>
          <w:p>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55</w:t>
            </w:r>
          </w:p>
        </w:tc>
        <w:tc>
          <w:tcPr>
            <w:tcW w:w="5603" w:type="dxa"/>
            <w:noWrap w:val="0"/>
            <w:vAlign w:val="center"/>
          </w:tcPr>
          <w:p>
            <w:pPr>
              <w:widowControl/>
              <w:spacing w:line="240" w:lineRule="exact"/>
              <w:jc w:val="left"/>
              <w:rPr>
                <w:kern w:val="0"/>
                <w:szCs w:val="21"/>
              </w:rPr>
            </w:pPr>
            <w:r>
              <w:rPr>
                <w:rFonts w:hint="eastAsia"/>
                <w:kern w:val="0"/>
                <w:szCs w:val="21"/>
              </w:rPr>
              <w:t>对于危险性大的废弃物，要独立包装，标签信息明确</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56</w:t>
            </w:r>
          </w:p>
        </w:tc>
        <w:tc>
          <w:tcPr>
            <w:tcW w:w="5603" w:type="dxa"/>
            <w:noWrap w:val="0"/>
            <w:vAlign w:val="center"/>
          </w:tcPr>
          <w:p>
            <w:pPr>
              <w:widowControl/>
              <w:spacing w:line="240" w:lineRule="exact"/>
              <w:jc w:val="left"/>
              <w:rPr>
                <w:kern w:val="0"/>
                <w:szCs w:val="21"/>
              </w:rPr>
            </w:pPr>
            <w:r>
              <w:rPr>
                <w:kern w:val="0"/>
                <w:szCs w:val="21"/>
              </w:rPr>
              <w:t>实验废弃物和生活垃圾不混放，不向下水道倾倒废旧化学试剂</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57</w:t>
            </w:r>
          </w:p>
        </w:tc>
        <w:tc>
          <w:tcPr>
            <w:tcW w:w="5603" w:type="dxa"/>
            <w:noWrap w:val="0"/>
            <w:vAlign w:val="center"/>
          </w:tcPr>
          <w:p>
            <w:pPr>
              <w:widowControl/>
              <w:spacing w:line="240" w:lineRule="exact"/>
              <w:jc w:val="left"/>
              <w:rPr>
                <w:kern w:val="0"/>
                <w:szCs w:val="21"/>
              </w:rPr>
            </w:pPr>
            <w:r>
              <w:rPr>
                <w:kern w:val="0"/>
                <w:szCs w:val="21"/>
              </w:rPr>
              <w:t>锐器废物盛放在纸板箱等不易被刺穿的容器中</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58</w:t>
            </w:r>
          </w:p>
        </w:tc>
        <w:tc>
          <w:tcPr>
            <w:tcW w:w="5603" w:type="dxa"/>
            <w:noWrap w:val="0"/>
            <w:vAlign w:val="center"/>
          </w:tcPr>
          <w:p>
            <w:pPr>
              <w:widowControl/>
              <w:spacing w:line="240" w:lineRule="exact"/>
              <w:jc w:val="left"/>
              <w:rPr>
                <w:kern w:val="0"/>
                <w:szCs w:val="21"/>
              </w:rPr>
            </w:pPr>
            <w:r>
              <w:rPr>
                <w:kern w:val="0"/>
                <w:szCs w:val="21"/>
              </w:rPr>
              <w:t>配置试剂、合成品、样品等标签信息明确</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59</w:t>
            </w:r>
          </w:p>
        </w:tc>
        <w:tc>
          <w:tcPr>
            <w:tcW w:w="5603" w:type="dxa"/>
            <w:noWrap w:val="0"/>
            <w:vAlign w:val="center"/>
          </w:tcPr>
          <w:p>
            <w:pPr>
              <w:widowControl/>
              <w:spacing w:line="240" w:lineRule="exact"/>
              <w:jc w:val="left"/>
              <w:rPr>
                <w:kern w:val="0"/>
                <w:szCs w:val="21"/>
              </w:rPr>
            </w:pPr>
            <w:r>
              <w:rPr>
                <w:kern w:val="0"/>
                <w:szCs w:val="21"/>
              </w:rPr>
              <w:t>盛放配置试剂、合成品等的烧杯、烧瓶不得无盖放置</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60</w:t>
            </w:r>
          </w:p>
        </w:tc>
        <w:tc>
          <w:tcPr>
            <w:tcW w:w="5603" w:type="dxa"/>
            <w:noWrap w:val="0"/>
            <w:vAlign w:val="center"/>
          </w:tcPr>
          <w:p>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61</w:t>
            </w:r>
          </w:p>
        </w:tc>
        <w:tc>
          <w:tcPr>
            <w:tcW w:w="5603" w:type="dxa"/>
            <w:noWrap w:val="0"/>
            <w:vAlign w:val="center"/>
          </w:tcPr>
          <w:p>
            <w:pPr>
              <w:widowControl/>
              <w:spacing w:line="240" w:lineRule="exact"/>
              <w:jc w:val="left"/>
              <w:rPr>
                <w:kern w:val="0"/>
                <w:szCs w:val="21"/>
              </w:rPr>
            </w:pPr>
            <w:r>
              <w:rPr>
                <w:kern w:val="0"/>
                <w:szCs w:val="21"/>
              </w:rPr>
              <w:t>原标签纸未撕去的空试剂瓶中不存放其它化学品的现象（除非将原标签撕去、重新贴上专用标签纸）</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62</w:t>
            </w:r>
          </w:p>
        </w:tc>
        <w:tc>
          <w:tcPr>
            <w:tcW w:w="5603" w:type="dxa"/>
            <w:noWrap w:val="0"/>
            <w:vAlign w:val="center"/>
          </w:tcPr>
          <w:p>
            <w:pPr>
              <w:widowControl/>
              <w:spacing w:line="240" w:lineRule="exact"/>
              <w:jc w:val="left"/>
              <w:rPr>
                <w:kern w:val="0"/>
                <w:szCs w:val="21"/>
              </w:rPr>
            </w:pPr>
            <w:r>
              <w:rPr>
                <w:kern w:val="0"/>
                <w:szCs w:val="21"/>
              </w:rPr>
              <w:t>用于浸泡玻璃器皿的酸缸、碱缸等有盖子盖上</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63</w:t>
            </w:r>
          </w:p>
        </w:tc>
        <w:tc>
          <w:tcPr>
            <w:tcW w:w="5603" w:type="dxa"/>
            <w:noWrap w:val="0"/>
            <w:vAlign w:val="center"/>
          </w:tcPr>
          <w:p>
            <w:pPr>
              <w:widowControl/>
              <w:spacing w:line="240" w:lineRule="exact"/>
              <w:jc w:val="left"/>
              <w:rPr>
                <w:kern w:val="0"/>
                <w:szCs w:val="21"/>
              </w:rPr>
            </w:pPr>
            <w:r>
              <w:rPr>
                <w:kern w:val="0"/>
                <w:szCs w:val="21"/>
              </w:rPr>
              <w:t>不使用破损量筒、试管等玻璃器皿</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64</w:t>
            </w:r>
          </w:p>
        </w:tc>
        <w:tc>
          <w:tcPr>
            <w:tcW w:w="5603" w:type="dxa"/>
            <w:noWrap w:val="0"/>
            <w:vAlign w:val="center"/>
          </w:tcPr>
          <w:p>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noWrap w:val="0"/>
            <w:vAlign w:val="top"/>
          </w:tcPr>
          <w:p>
            <w:pPr>
              <w:widowControl/>
              <w:spacing w:line="240" w:lineRule="exact"/>
              <w:jc w:val="center"/>
              <w:rPr>
                <w:bCs/>
                <w:kern w:val="0"/>
                <w:sz w:val="15"/>
                <w:szCs w:val="15"/>
              </w:rPr>
            </w:pPr>
            <w:r>
              <w:rPr>
                <w:rFonts w:hint="eastAsia"/>
                <w:bCs/>
                <w:kern w:val="0"/>
                <w:sz w:val="15"/>
                <w:szCs w:val="15"/>
              </w:rPr>
              <w:t>查看实验记录、询问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65</w:t>
            </w:r>
          </w:p>
        </w:tc>
        <w:tc>
          <w:tcPr>
            <w:tcW w:w="5603" w:type="dxa"/>
            <w:noWrap w:val="0"/>
            <w:vAlign w:val="center"/>
          </w:tcPr>
          <w:p>
            <w:pPr>
              <w:widowControl/>
              <w:spacing w:line="240" w:lineRule="exact"/>
              <w:jc w:val="left"/>
              <w:rPr>
                <w:kern w:val="0"/>
                <w:szCs w:val="21"/>
              </w:rPr>
            </w:pPr>
            <w:r>
              <w:rPr>
                <w:kern w:val="0"/>
                <w:szCs w:val="21"/>
              </w:rPr>
              <w:t>危险性化学实验有实验指导书</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66</w:t>
            </w:r>
          </w:p>
        </w:tc>
        <w:tc>
          <w:tcPr>
            <w:tcW w:w="5603" w:type="dxa"/>
            <w:noWrap w:val="0"/>
            <w:vAlign w:val="center"/>
          </w:tcPr>
          <w:p>
            <w:pPr>
              <w:widowControl/>
              <w:spacing w:line="240" w:lineRule="exact"/>
              <w:jc w:val="left"/>
              <w:rPr>
                <w:kern w:val="0"/>
                <w:szCs w:val="21"/>
              </w:rPr>
            </w:pPr>
            <w:r>
              <w:rPr>
                <w:kern w:val="0"/>
                <w:szCs w:val="21"/>
              </w:rPr>
              <w:t>高</w:t>
            </w:r>
            <w:r>
              <w:rPr>
                <w:rFonts w:hint="eastAsia"/>
                <w:kern w:val="0"/>
                <w:szCs w:val="21"/>
              </w:rPr>
              <w:t>电脑、空调、电加热器、饮水机等不随意开机过夜</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67</w:t>
            </w:r>
          </w:p>
        </w:tc>
        <w:tc>
          <w:tcPr>
            <w:tcW w:w="5603" w:type="dxa"/>
            <w:noWrap w:val="0"/>
            <w:vAlign w:val="center"/>
          </w:tcPr>
          <w:p>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68</w:t>
            </w:r>
          </w:p>
        </w:tc>
        <w:tc>
          <w:tcPr>
            <w:tcW w:w="5603" w:type="dxa"/>
            <w:noWrap w:val="0"/>
            <w:vAlign w:val="center"/>
          </w:tcPr>
          <w:p>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69</w:t>
            </w:r>
          </w:p>
        </w:tc>
        <w:tc>
          <w:tcPr>
            <w:tcW w:w="5603" w:type="dxa"/>
            <w:noWrap w:val="0"/>
            <w:vAlign w:val="center"/>
          </w:tcPr>
          <w:p>
            <w:pPr>
              <w:widowControl/>
              <w:spacing w:line="240" w:lineRule="exact"/>
              <w:jc w:val="left"/>
              <w:rPr>
                <w:kern w:val="0"/>
                <w:szCs w:val="21"/>
              </w:rPr>
            </w:pPr>
            <w:r>
              <w:rPr>
                <w:szCs w:val="21"/>
              </w:rPr>
              <w:t>对于超高速离心机，需要放置在离心室，在离心过程中，工作人员保持合理安全距离</w:t>
            </w:r>
          </w:p>
        </w:tc>
        <w:tc>
          <w:tcPr>
            <w:tcW w:w="2519" w:type="dxa"/>
            <w:noWrap w:val="0"/>
            <w:vAlign w:val="top"/>
          </w:tcPr>
          <w:p>
            <w:pPr>
              <w:widowControl/>
              <w:spacing w:line="240" w:lineRule="exact"/>
              <w:jc w:val="center"/>
              <w:rPr>
                <w:b/>
                <w:bCs/>
                <w:kern w:val="0"/>
                <w:sz w:val="15"/>
                <w:szCs w:val="15"/>
              </w:rPr>
            </w:pPr>
          </w:p>
        </w:tc>
      </w:tr>
      <w:tr>
        <w:tblPrEx>
          <w:tblCellMar>
            <w:top w:w="0" w:type="dxa"/>
            <w:left w:w="108" w:type="dxa"/>
            <w:bottom w:w="0" w:type="dxa"/>
            <w:right w:w="108" w:type="dxa"/>
          </w:tblCellMar>
        </w:tblPrEx>
        <w:tc>
          <w:tcPr>
            <w:tcW w:w="828" w:type="dxa"/>
            <w:noWrap w:val="0"/>
            <w:vAlign w:val="top"/>
          </w:tcPr>
          <w:p>
            <w:pPr>
              <w:jc w:val="center"/>
            </w:pPr>
            <w:r>
              <w:t>70</w:t>
            </w:r>
          </w:p>
        </w:tc>
        <w:tc>
          <w:tcPr>
            <w:tcW w:w="5603" w:type="dxa"/>
            <w:noWrap w:val="0"/>
            <w:vAlign w:val="center"/>
          </w:tcPr>
          <w:p>
            <w:pPr>
              <w:widowControl/>
              <w:spacing w:line="240" w:lineRule="exact"/>
              <w:jc w:val="left"/>
              <w:rPr>
                <w:kern w:val="0"/>
                <w:szCs w:val="21"/>
              </w:rPr>
            </w:pPr>
            <w:r>
              <w:rPr>
                <w:kern w:val="0"/>
                <w:szCs w:val="21"/>
              </w:rPr>
              <w:t>电子天平不放在阳光直射的地方，且用后及时清理</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71</w:t>
            </w:r>
          </w:p>
        </w:tc>
        <w:tc>
          <w:tcPr>
            <w:tcW w:w="5603" w:type="dxa"/>
            <w:noWrap w:val="0"/>
            <w:vAlign w:val="center"/>
          </w:tcPr>
          <w:p>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72</w:t>
            </w:r>
          </w:p>
        </w:tc>
        <w:tc>
          <w:tcPr>
            <w:tcW w:w="5603" w:type="dxa"/>
            <w:noWrap w:val="0"/>
            <w:vAlign w:val="center"/>
          </w:tcPr>
          <w:p>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73</w:t>
            </w:r>
          </w:p>
        </w:tc>
        <w:tc>
          <w:tcPr>
            <w:tcW w:w="5603" w:type="dxa"/>
            <w:noWrap w:val="0"/>
            <w:vAlign w:val="center"/>
          </w:tcPr>
          <w:p>
            <w:pPr>
              <w:widowControl/>
              <w:spacing w:line="240" w:lineRule="exact"/>
              <w:jc w:val="left"/>
              <w:rPr>
                <w:kern w:val="0"/>
                <w:szCs w:val="21"/>
              </w:rPr>
            </w:pPr>
            <w:r>
              <w:rPr>
                <w:kern w:val="0"/>
                <w:szCs w:val="21"/>
              </w:rPr>
              <w:t>冰箱内存放的物品必须标识明确（包括品名、使用人、日期等），并经常清理，有清理记录</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74</w:t>
            </w:r>
          </w:p>
        </w:tc>
        <w:tc>
          <w:tcPr>
            <w:tcW w:w="5603" w:type="dxa"/>
            <w:noWrap w:val="0"/>
            <w:vAlign w:val="center"/>
          </w:tcPr>
          <w:p>
            <w:pPr>
              <w:widowControl/>
              <w:spacing w:line="240" w:lineRule="exact"/>
              <w:jc w:val="left"/>
              <w:rPr>
                <w:kern w:val="0"/>
                <w:szCs w:val="21"/>
              </w:rPr>
            </w:pPr>
            <w:r>
              <w:rPr>
                <w:kern w:val="0"/>
                <w:szCs w:val="21"/>
              </w:rPr>
              <w:t>冰箱内储存试剂必须密封好</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noWrap w:val="0"/>
            <w:vAlign w:val="top"/>
          </w:tcPr>
          <w:p>
            <w:pPr>
              <w:jc w:val="center"/>
            </w:pPr>
            <w:r>
              <w:t>75</w:t>
            </w:r>
          </w:p>
        </w:tc>
        <w:tc>
          <w:tcPr>
            <w:tcW w:w="5603" w:type="dxa"/>
            <w:noWrap w:val="0"/>
            <w:vAlign w:val="center"/>
          </w:tcPr>
          <w:p>
            <w:pPr>
              <w:widowControl/>
              <w:spacing w:line="240" w:lineRule="exact"/>
              <w:jc w:val="left"/>
              <w:rPr>
                <w:kern w:val="0"/>
                <w:szCs w:val="21"/>
              </w:rPr>
            </w:pPr>
            <w:r>
              <w:rPr>
                <w:rFonts w:hint="eastAsia"/>
                <w:kern w:val="0"/>
                <w:szCs w:val="21"/>
              </w:rPr>
              <w:t>冰箱不超期服役（一般使用期限控制为10年），如超期使用需经审批</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76</w:t>
            </w:r>
          </w:p>
        </w:tc>
        <w:tc>
          <w:tcPr>
            <w:tcW w:w="5603" w:type="dxa"/>
            <w:noWrap w:val="0"/>
            <w:vAlign w:val="center"/>
          </w:tcPr>
          <w:p>
            <w:pPr>
              <w:widowControl/>
              <w:spacing w:line="240" w:lineRule="exact"/>
              <w:jc w:val="left"/>
              <w:rPr>
                <w:rFonts w:hint="eastAsia" w:eastAsia="宋体"/>
                <w:kern w:val="0"/>
                <w:szCs w:val="21"/>
                <w:lang w:eastAsia="zh-CN"/>
              </w:rPr>
            </w:pPr>
            <w:r>
              <w:rPr>
                <w:rFonts w:hint="eastAsia"/>
                <w:kern w:val="0"/>
                <w:szCs w:val="21"/>
              </w:rPr>
              <w:t>冰箱周围留出足够空间，周围不堆放杂物，影响散热</w:t>
            </w:r>
            <w:r>
              <w:rPr>
                <w:rFonts w:hint="eastAsia"/>
                <w:kern w:val="0"/>
                <w:szCs w:val="21"/>
                <w:lang w:eastAsia="zh-CN"/>
              </w:rPr>
              <w:t>，</w:t>
            </w:r>
            <w:r>
              <w:rPr>
                <w:rFonts w:hint="eastAsia"/>
                <w:kern w:val="0"/>
                <w:szCs w:val="21"/>
                <w:lang w:val="en-US" w:eastAsia="zh-CN"/>
              </w:rPr>
              <w:t>要求</w:t>
            </w:r>
            <w:r>
              <w:rPr>
                <w:rFonts w:hint="eastAsia"/>
                <w:kern w:val="0"/>
                <w:szCs w:val="21"/>
              </w:rPr>
              <w:t>左右及后部留出10cm，上部最少30cm的距离</w:t>
            </w:r>
          </w:p>
        </w:tc>
        <w:tc>
          <w:tcPr>
            <w:tcW w:w="2519" w:type="dxa"/>
            <w:noWrap w:val="0"/>
            <w:vAlign w:val="top"/>
          </w:tcPr>
          <w:p>
            <w:pPr>
              <w:widowControl/>
              <w:spacing w:line="240" w:lineRule="exact"/>
              <w:jc w:val="center"/>
              <w:rPr>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77</w:t>
            </w:r>
          </w:p>
        </w:tc>
        <w:tc>
          <w:tcPr>
            <w:tcW w:w="5603" w:type="dxa"/>
            <w:noWrap w:val="0"/>
            <w:vAlign w:val="center"/>
          </w:tcPr>
          <w:p>
            <w:pPr>
              <w:widowControl/>
              <w:spacing w:line="240" w:lineRule="exact"/>
              <w:jc w:val="left"/>
              <w:rPr>
                <w:kern w:val="0"/>
                <w:szCs w:val="21"/>
              </w:rPr>
            </w:pPr>
            <w:r>
              <w:rPr>
                <w:kern w:val="0"/>
                <w:szCs w:val="21"/>
              </w:rPr>
              <w:t>实验室冰箱中不放置食品</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78</w:t>
            </w:r>
          </w:p>
        </w:tc>
        <w:tc>
          <w:tcPr>
            <w:tcW w:w="5603" w:type="dxa"/>
            <w:noWrap w:val="0"/>
            <w:vAlign w:val="center"/>
          </w:tcPr>
          <w:p>
            <w:pPr>
              <w:widowControl/>
              <w:spacing w:line="240" w:lineRule="exact"/>
              <w:jc w:val="left"/>
              <w:rPr>
                <w:kern w:val="0"/>
                <w:szCs w:val="21"/>
              </w:rPr>
            </w:pPr>
            <w:r>
              <w:rPr>
                <w:kern w:val="0"/>
                <w:szCs w:val="21"/>
              </w:rPr>
              <w:t>烘箱、电阻炉无超期服役现象（一般使用期限控制为12年）</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79</w:t>
            </w:r>
          </w:p>
        </w:tc>
        <w:tc>
          <w:tcPr>
            <w:tcW w:w="5603" w:type="dxa"/>
            <w:noWrap w:val="0"/>
            <w:vAlign w:val="center"/>
          </w:tcPr>
          <w:p>
            <w:pPr>
              <w:widowControl/>
              <w:spacing w:line="240" w:lineRule="exact"/>
              <w:jc w:val="left"/>
              <w:rPr>
                <w:kern w:val="0"/>
                <w:szCs w:val="21"/>
              </w:rPr>
            </w:pPr>
            <w:r>
              <w:rPr>
                <w:rFonts w:hint="eastAsia"/>
                <w:kern w:val="0"/>
                <w:szCs w:val="21"/>
              </w:rPr>
              <w:t>烘箱、电阻炉不使用接线板供电</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28" w:type="dxa"/>
            <w:noWrap w:val="0"/>
            <w:vAlign w:val="top"/>
          </w:tcPr>
          <w:p>
            <w:pPr>
              <w:jc w:val="center"/>
            </w:pPr>
            <w:r>
              <w:t>80</w:t>
            </w:r>
          </w:p>
        </w:tc>
        <w:tc>
          <w:tcPr>
            <w:tcW w:w="5603" w:type="dxa"/>
            <w:noWrap w:val="0"/>
            <w:vAlign w:val="center"/>
          </w:tcPr>
          <w:p>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2519" w:type="dxa"/>
            <w:noWrap w:val="0"/>
            <w:vAlign w:val="top"/>
          </w:tcPr>
          <w:p>
            <w:pPr>
              <w:widowControl/>
              <w:spacing w:line="240" w:lineRule="exact"/>
              <w:jc w:val="center"/>
              <w:rPr>
                <w:b/>
                <w:bCs/>
                <w:kern w:val="0"/>
                <w:sz w:val="15"/>
                <w:szCs w:val="15"/>
              </w:rPr>
            </w:pPr>
          </w:p>
        </w:tc>
      </w:tr>
      <w:tr>
        <w:tblPrEx>
          <w:tblCellMar>
            <w:top w:w="0" w:type="dxa"/>
            <w:left w:w="108" w:type="dxa"/>
            <w:bottom w:w="0" w:type="dxa"/>
            <w:right w:w="108" w:type="dxa"/>
          </w:tblCellMar>
        </w:tblPrEx>
        <w:tc>
          <w:tcPr>
            <w:tcW w:w="828" w:type="dxa"/>
            <w:noWrap w:val="0"/>
            <w:vAlign w:val="top"/>
          </w:tcPr>
          <w:p>
            <w:pPr>
              <w:jc w:val="center"/>
            </w:pPr>
            <w:r>
              <w:t>81</w:t>
            </w:r>
          </w:p>
        </w:tc>
        <w:tc>
          <w:tcPr>
            <w:tcW w:w="5603" w:type="dxa"/>
            <w:noWrap w:val="0"/>
            <w:vAlign w:val="center"/>
          </w:tcPr>
          <w:p>
            <w:pPr>
              <w:widowControl/>
              <w:spacing w:line="240" w:lineRule="exact"/>
              <w:jc w:val="left"/>
              <w:rPr>
                <w:kern w:val="0"/>
                <w:szCs w:val="21"/>
              </w:rPr>
            </w:pPr>
            <w:r>
              <w:rPr>
                <w:kern w:val="0"/>
                <w:szCs w:val="21"/>
              </w:rPr>
              <w:t>烘箱、电阻炉等附近不存放气体钢瓶、易燃易爆化学品</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828" w:type="dxa"/>
            <w:noWrap w:val="0"/>
            <w:vAlign w:val="top"/>
          </w:tcPr>
          <w:p>
            <w:pPr>
              <w:jc w:val="center"/>
            </w:pPr>
            <w:r>
              <w:t>82</w:t>
            </w:r>
          </w:p>
        </w:tc>
        <w:tc>
          <w:tcPr>
            <w:tcW w:w="5603" w:type="dxa"/>
            <w:noWrap w:val="0"/>
            <w:vAlign w:val="center"/>
          </w:tcPr>
          <w:p>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8" w:type="dxa"/>
            <w:noWrap w:val="0"/>
            <w:vAlign w:val="top"/>
          </w:tcPr>
          <w:p>
            <w:pPr>
              <w:jc w:val="center"/>
            </w:pPr>
            <w:r>
              <w:t>83</w:t>
            </w:r>
          </w:p>
        </w:tc>
        <w:tc>
          <w:tcPr>
            <w:tcW w:w="5603" w:type="dxa"/>
            <w:noWrap w:val="0"/>
            <w:vAlign w:val="center"/>
          </w:tcPr>
          <w:p>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pPr>
              <w:jc w:val="center"/>
            </w:pPr>
            <w:r>
              <w:t>84</w:t>
            </w:r>
          </w:p>
        </w:tc>
        <w:tc>
          <w:tcPr>
            <w:tcW w:w="5603" w:type="dxa"/>
            <w:noWrap w:val="0"/>
            <w:vAlign w:val="center"/>
          </w:tcPr>
          <w:p>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2519" w:type="dxa"/>
            <w:noWrap w:val="0"/>
            <w:vAlign w:val="top"/>
          </w:tcPr>
          <w:p>
            <w:pPr>
              <w:widowControl/>
              <w:spacing w:line="240" w:lineRule="exact"/>
              <w:jc w:val="center"/>
              <w:rPr>
                <w:b/>
                <w:bCs/>
                <w:kern w:val="0"/>
                <w:sz w:val="15"/>
                <w:szCs w:val="15"/>
              </w:rPr>
            </w:pPr>
          </w:p>
        </w:tc>
      </w:tr>
      <w:tr>
        <w:tblPrEx>
          <w:tblCellMar>
            <w:top w:w="0" w:type="dxa"/>
            <w:left w:w="108" w:type="dxa"/>
            <w:bottom w:w="0" w:type="dxa"/>
            <w:right w:w="108" w:type="dxa"/>
          </w:tblCellMar>
        </w:tblPrEx>
        <w:tc>
          <w:tcPr>
            <w:tcW w:w="828" w:type="dxa"/>
            <w:noWrap w:val="0"/>
            <w:vAlign w:val="top"/>
          </w:tcPr>
          <w:p>
            <w:pPr>
              <w:jc w:val="center"/>
            </w:pPr>
            <w:r>
              <w:t>85</w:t>
            </w:r>
          </w:p>
        </w:tc>
        <w:tc>
          <w:tcPr>
            <w:tcW w:w="5603" w:type="dxa"/>
            <w:noWrap w:val="0"/>
            <w:vAlign w:val="center"/>
          </w:tcPr>
          <w:p>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2519"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28" w:type="dxa"/>
            <w:noWrap w:val="0"/>
            <w:vAlign w:val="top"/>
          </w:tcPr>
          <w:p>
            <w:pPr>
              <w:jc w:val="center"/>
            </w:pPr>
            <w:r>
              <w:t>86</w:t>
            </w:r>
          </w:p>
        </w:tc>
        <w:tc>
          <w:tcPr>
            <w:tcW w:w="5603" w:type="dxa"/>
            <w:noWrap w:val="0"/>
            <w:vAlign w:val="center"/>
          </w:tcPr>
          <w:p>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2519" w:type="dxa"/>
            <w:noWrap w:val="0"/>
            <w:vAlign w:val="top"/>
          </w:tcPr>
          <w:p>
            <w:pPr>
              <w:widowControl/>
              <w:spacing w:line="240" w:lineRule="exact"/>
              <w:jc w:val="center"/>
              <w:rPr>
                <w:b/>
                <w:bCs/>
                <w:kern w:val="0"/>
                <w:sz w:val="15"/>
                <w:szCs w:val="15"/>
              </w:rPr>
            </w:pPr>
          </w:p>
        </w:tc>
      </w:tr>
    </w:tbl>
    <w:p>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的情况应及时整改，学院或学校查处未整改情况将依据相关办法处理。</w:t>
      </w:r>
    </w:p>
    <w:p>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ZGUyZjM0N2U3ODllM2M2YTNjYTg0NGNjMTgyNGUifQ=="/>
  </w:docVars>
  <w:rsids>
    <w:rsidRoot w:val="07C35D99"/>
    <w:rsid w:val="04247911"/>
    <w:rsid w:val="04D56E5D"/>
    <w:rsid w:val="063D2F0C"/>
    <w:rsid w:val="07C35D99"/>
    <w:rsid w:val="0A5E16A3"/>
    <w:rsid w:val="0D75742F"/>
    <w:rsid w:val="0EEE56EB"/>
    <w:rsid w:val="150F1F18"/>
    <w:rsid w:val="18A045E2"/>
    <w:rsid w:val="194505FE"/>
    <w:rsid w:val="1E560BB7"/>
    <w:rsid w:val="20643FC9"/>
    <w:rsid w:val="2279798C"/>
    <w:rsid w:val="2C4638EE"/>
    <w:rsid w:val="2DA74F8B"/>
    <w:rsid w:val="33AA024D"/>
    <w:rsid w:val="35A2048B"/>
    <w:rsid w:val="36783969"/>
    <w:rsid w:val="38EC7CF6"/>
    <w:rsid w:val="39400042"/>
    <w:rsid w:val="3CB72D11"/>
    <w:rsid w:val="3CF76AE8"/>
    <w:rsid w:val="3FD260B4"/>
    <w:rsid w:val="40322DDA"/>
    <w:rsid w:val="41E41EB2"/>
    <w:rsid w:val="43543068"/>
    <w:rsid w:val="45B14D9D"/>
    <w:rsid w:val="4D4C674B"/>
    <w:rsid w:val="4F560410"/>
    <w:rsid w:val="59CC1752"/>
    <w:rsid w:val="5DE828D3"/>
    <w:rsid w:val="5EBF1885"/>
    <w:rsid w:val="607E751E"/>
    <w:rsid w:val="60FA66B2"/>
    <w:rsid w:val="641C32D6"/>
    <w:rsid w:val="66D32559"/>
    <w:rsid w:val="68882CE8"/>
    <w:rsid w:val="6CC6797E"/>
    <w:rsid w:val="6F467459"/>
    <w:rsid w:val="70CB7F2F"/>
    <w:rsid w:val="722E0DFE"/>
    <w:rsid w:val="724539F8"/>
    <w:rsid w:val="754B7577"/>
    <w:rsid w:val="7D761851"/>
    <w:rsid w:val="7E997755"/>
    <w:rsid w:val="7EC35188"/>
    <w:rsid w:val="7ECF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after="120" w:line="360" w:lineRule="auto"/>
      <w:jc w:val="center"/>
      <w:outlineLvl w:val="0"/>
    </w:pPr>
    <w:rPr>
      <w:rFonts w:eastAsia="宋体"/>
      <w:b/>
      <w:kern w:val="44"/>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2023-04-18T07:16:00Z</dcterms:created>
  <dc:creator>飚</dc:creator>
  <cp:lastModifiedBy>阿富</cp:lastModifiedBy>
  <cp:lastPrinted>2024-04-25T04:47:00Z</cp:lastPrinted>
  <dcterms:modified xsi:type="dcterms:W3CDTF">2024-04-26T06:24:35Z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61F2D91D34724D709EE6BFA6FA59A2DD_13</vt:lpwstr>
  </property>
</Properties>
</file>